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410"/>
        <w:gridCol w:w="2977"/>
        <w:gridCol w:w="3969"/>
        <w:gridCol w:w="2305"/>
        <w:gridCol w:w="38"/>
      </w:tblGrid>
      <w:tr w:rsidR="001A1FA4" w:rsidRPr="00BC5A7A" w:rsidTr="008A3680">
        <w:trPr>
          <w:trHeight w:val="703"/>
        </w:trPr>
        <w:tc>
          <w:tcPr>
            <w:tcW w:w="13751" w:type="dxa"/>
            <w:gridSpan w:val="6"/>
          </w:tcPr>
          <w:p w:rsidR="00A9362E" w:rsidRPr="001E105A" w:rsidRDefault="001A1FA4" w:rsidP="00557401">
            <w:pPr>
              <w:rPr>
                <w:rFonts w:cs="Arial"/>
                <w:b/>
                <w:sz w:val="20"/>
                <w:szCs w:val="20"/>
              </w:rPr>
            </w:pPr>
            <w:r w:rsidRPr="001E105A">
              <w:rPr>
                <w:rFonts w:cs="Arial"/>
                <w:b/>
                <w:sz w:val="20"/>
                <w:szCs w:val="20"/>
              </w:rPr>
              <w:t>CORTE CONSTITUCIONAL</w:t>
            </w:r>
            <w:r w:rsidR="00A9362E"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bookmarkStart w:id="0" w:name="_GoBack"/>
            <w:r w:rsidR="00DF02E9" w:rsidRPr="001E105A">
              <w:rPr>
                <w:rFonts w:cs="Arial"/>
                <w:b/>
                <w:sz w:val="20"/>
                <w:szCs w:val="20"/>
              </w:rPr>
              <w:t xml:space="preserve">SENTENCIA </w:t>
            </w:r>
            <w:r w:rsidR="008512AD" w:rsidRPr="001E105A">
              <w:rPr>
                <w:rFonts w:cs="Arial"/>
                <w:b/>
                <w:sz w:val="20"/>
                <w:szCs w:val="20"/>
              </w:rPr>
              <w:t>T-257/96</w:t>
            </w:r>
            <w:r w:rsidRPr="001E105A">
              <w:rPr>
                <w:rFonts w:cs="Arial"/>
                <w:b/>
                <w:sz w:val="20"/>
                <w:szCs w:val="20"/>
              </w:rPr>
              <w:t>.</w:t>
            </w:r>
            <w:bookmarkEnd w:id="0"/>
          </w:p>
          <w:p w:rsidR="00ED47D4" w:rsidRPr="001E105A" w:rsidRDefault="00A9362E" w:rsidP="001E105A">
            <w:pPr>
              <w:rPr>
                <w:rFonts w:cs="Arial"/>
                <w:b/>
                <w:sz w:val="20"/>
                <w:szCs w:val="20"/>
              </w:rPr>
            </w:pPr>
            <w:r w:rsidRPr="001E105A">
              <w:rPr>
                <w:rFonts w:cs="Arial"/>
                <w:b/>
                <w:sz w:val="20"/>
                <w:szCs w:val="20"/>
              </w:rPr>
              <w:t xml:space="preserve">ACCION DE TUTELA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 xml:space="preserve">DERECHO A LA VIDA, A LA SALUD Y A GOZAR DE UN AMBIENTE SANO. </w:t>
            </w:r>
          </w:p>
          <w:p w:rsidR="006C7B50" w:rsidRPr="001E105A" w:rsidRDefault="001A1FA4" w:rsidP="00557401">
            <w:pPr>
              <w:rPr>
                <w:rFonts w:cs="Arial"/>
                <w:b/>
                <w:sz w:val="20"/>
                <w:szCs w:val="20"/>
              </w:rPr>
            </w:pPr>
            <w:r w:rsidRPr="001E105A">
              <w:rPr>
                <w:rFonts w:cs="Arial"/>
                <w:b/>
                <w:sz w:val="20"/>
                <w:szCs w:val="20"/>
              </w:rPr>
              <w:t>ACCIONANTE:</w:t>
            </w:r>
            <w:r w:rsidR="006C7B50"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HANS RICARDO TIUSO MALAGON.</w:t>
            </w:r>
          </w:p>
          <w:p w:rsidR="006C7B50" w:rsidRPr="001E105A" w:rsidRDefault="001A1FA4" w:rsidP="001E105A">
            <w:pPr>
              <w:rPr>
                <w:rFonts w:cs="Arial"/>
                <w:b/>
                <w:sz w:val="20"/>
                <w:szCs w:val="20"/>
              </w:rPr>
            </w:pPr>
            <w:r w:rsidRPr="001E105A">
              <w:rPr>
                <w:rFonts w:cs="Arial"/>
                <w:b/>
                <w:sz w:val="20"/>
                <w:szCs w:val="20"/>
              </w:rPr>
              <w:t>ACCIONADO:</w:t>
            </w:r>
            <w:r w:rsidR="006C7B50"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ALCALDE DE VILLAVICENCIO Y BIOAGRÍCOLA DEL LLANO S.A.</w:t>
            </w:r>
          </w:p>
          <w:p w:rsidR="006C7B50" w:rsidRPr="001E105A" w:rsidRDefault="006C7B50" w:rsidP="00557401">
            <w:pPr>
              <w:rPr>
                <w:rFonts w:cs="Arial"/>
                <w:b/>
                <w:sz w:val="20"/>
                <w:szCs w:val="20"/>
              </w:rPr>
            </w:pPr>
            <w:r w:rsidRPr="001E105A">
              <w:rPr>
                <w:rFonts w:cs="Arial"/>
                <w:b/>
                <w:sz w:val="20"/>
                <w:szCs w:val="20"/>
              </w:rPr>
              <w:t>REFERENCIA EXPEDIENTE</w:t>
            </w:r>
            <w:r w:rsidR="001A1FA4" w:rsidRPr="001E105A">
              <w:rPr>
                <w:rFonts w:cs="Arial"/>
                <w:b/>
                <w:sz w:val="20"/>
                <w:szCs w:val="20"/>
              </w:rPr>
              <w:t>:</w:t>
            </w:r>
            <w:r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A1FA4"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91086</w:t>
            </w:r>
          </w:p>
          <w:p w:rsidR="00A9362E" w:rsidRPr="00BC5A7A" w:rsidRDefault="006C7B50" w:rsidP="00557401">
            <w:pPr>
              <w:rPr>
                <w:rFonts w:cs="Arial"/>
                <w:color w:val="FF0000"/>
                <w:sz w:val="20"/>
                <w:szCs w:val="20"/>
              </w:rPr>
            </w:pPr>
            <w:r w:rsidRPr="001E105A">
              <w:rPr>
                <w:rFonts w:cs="Arial"/>
                <w:b/>
                <w:sz w:val="20"/>
                <w:szCs w:val="20"/>
              </w:rPr>
              <w:t>BOGOTA D.C</w:t>
            </w:r>
            <w:r w:rsidR="001A1FA4" w:rsidRPr="001E105A">
              <w:rPr>
                <w:rFonts w:cs="Arial"/>
                <w:b/>
                <w:sz w:val="20"/>
                <w:szCs w:val="20"/>
              </w:rPr>
              <w:t>.</w:t>
            </w:r>
            <w:r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ONCE</w:t>
            </w:r>
            <w:r w:rsidRPr="001E105A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1</w:t>
            </w:r>
            <w:r w:rsidRPr="001E105A">
              <w:rPr>
                <w:rFonts w:cs="Arial"/>
                <w:b/>
                <w:sz w:val="20"/>
                <w:szCs w:val="20"/>
              </w:rPr>
              <w:t xml:space="preserve">1) DE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JUNIO</w:t>
            </w:r>
            <w:r w:rsidRPr="001E105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DE MIL NOVECIENTOS NOVENTA Y SEIS</w:t>
            </w:r>
            <w:r w:rsidRPr="001E105A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E105A" w:rsidRPr="001E105A">
              <w:rPr>
                <w:rFonts w:cs="Arial"/>
                <w:b/>
                <w:sz w:val="20"/>
                <w:szCs w:val="20"/>
              </w:rPr>
              <w:t>1996</w:t>
            </w:r>
            <w:r w:rsidRPr="001E105A">
              <w:rPr>
                <w:rFonts w:cs="Arial"/>
                <w:b/>
                <w:sz w:val="20"/>
                <w:szCs w:val="20"/>
              </w:rPr>
              <w:t>)</w:t>
            </w:r>
            <w:r w:rsidR="001A1FA4" w:rsidRPr="001E105A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1A1FA4" w:rsidRPr="00BC5A7A" w:rsidTr="00717E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450"/>
        </w:trPr>
        <w:tc>
          <w:tcPr>
            <w:tcW w:w="13713" w:type="dxa"/>
            <w:gridSpan w:val="5"/>
          </w:tcPr>
          <w:p w:rsidR="00A9362E" w:rsidRPr="00EA49B0" w:rsidRDefault="00A9362E" w:rsidP="001A1FA4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EA49B0">
              <w:rPr>
                <w:rFonts w:cs="Arial"/>
                <w:b/>
                <w:sz w:val="20"/>
                <w:szCs w:val="20"/>
              </w:rPr>
              <w:t>PROBLEMA JURIDICO:</w:t>
            </w:r>
            <w:r w:rsidR="001A1FA4" w:rsidRPr="00EA49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A1FA4" w:rsidRPr="00EA49B0">
              <w:rPr>
                <w:rFonts w:cs="Arial"/>
                <w:sz w:val="20"/>
                <w:szCs w:val="20"/>
              </w:rPr>
              <w:t>S</w:t>
            </w:r>
            <w:r w:rsidR="00D042F1" w:rsidRPr="00EA49B0">
              <w:rPr>
                <w:rFonts w:cs="Arial"/>
                <w:sz w:val="20"/>
                <w:szCs w:val="20"/>
              </w:rPr>
              <w:t>e gener</w:t>
            </w:r>
            <w:r w:rsidR="00D22948" w:rsidRPr="00EA49B0">
              <w:rPr>
                <w:rFonts w:cs="Arial"/>
                <w:sz w:val="20"/>
                <w:szCs w:val="20"/>
              </w:rPr>
              <w:t xml:space="preserve">a </w:t>
            </w:r>
            <w:r w:rsidR="00EA49B0" w:rsidRPr="00EA49B0">
              <w:rPr>
                <w:rFonts w:cs="Arial"/>
                <w:sz w:val="20"/>
                <w:szCs w:val="20"/>
              </w:rPr>
              <w:t>un conflicto entre el señor Hans Ricardo Tiuso Malagón, y la empresa Bioagrícola del Llano S.A. por la destinación de un lote que colinda con la propiedad que el administra para que funcione el botadero de basuras</w:t>
            </w:r>
            <w:r w:rsidR="00EA49B0">
              <w:rPr>
                <w:rFonts w:cs="Arial"/>
                <w:sz w:val="20"/>
                <w:szCs w:val="20"/>
              </w:rPr>
              <w:t xml:space="preserve"> del municipio de Villavicencio y de esta manera contaminar aguas superficiales, subterráneas y el ambiente en general.</w:t>
            </w:r>
          </w:p>
        </w:tc>
      </w:tr>
      <w:tr w:rsidR="004B1A52" w:rsidRPr="00BC5A7A" w:rsidTr="00DF71E8">
        <w:trPr>
          <w:trHeight w:val="536"/>
        </w:trPr>
        <w:tc>
          <w:tcPr>
            <w:tcW w:w="2052" w:type="dxa"/>
          </w:tcPr>
          <w:p w:rsidR="00EA49B0" w:rsidRPr="00BD5472" w:rsidRDefault="00EA49B0" w:rsidP="007F1F0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9362E" w:rsidRPr="00BD5472" w:rsidRDefault="00CE62D1" w:rsidP="007F1F0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472">
              <w:rPr>
                <w:rFonts w:cs="Arial"/>
                <w:b/>
                <w:sz w:val="20"/>
                <w:szCs w:val="20"/>
              </w:rPr>
              <w:t>HECHOS</w:t>
            </w:r>
          </w:p>
        </w:tc>
        <w:tc>
          <w:tcPr>
            <w:tcW w:w="2410" w:type="dxa"/>
          </w:tcPr>
          <w:p w:rsidR="004C3FDD" w:rsidRPr="00BD5472" w:rsidRDefault="004C3FDD" w:rsidP="004C3FD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C5A7A" w:rsidRPr="00BD5472" w:rsidRDefault="004C3FDD" w:rsidP="004C3FD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5472">
              <w:rPr>
                <w:rFonts w:cs="Arial"/>
                <w:b/>
                <w:bCs/>
                <w:sz w:val="20"/>
                <w:szCs w:val="20"/>
              </w:rPr>
              <w:t>PRETENCIONES</w:t>
            </w:r>
          </w:p>
        </w:tc>
        <w:tc>
          <w:tcPr>
            <w:tcW w:w="2977" w:type="dxa"/>
          </w:tcPr>
          <w:p w:rsidR="00BD5472" w:rsidRPr="00717E8B" w:rsidRDefault="00BC5A7A" w:rsidP="00BD547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7E8B">
              <w:rPr>
                <w:rFonts w:cs="Arial"/>
                <w:b/>
                <w:bCs/>
                <w:sz w:val="20"/>
                <w:szCs w:val="20"/>
              </w:rPr>
              <w:t>SENTENCIA</w:t>
            </w:r>
            <w:r w:rsidR="005845EB" w:rsidRPr="00717E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A9362E" w:rsidRPr="00717E8B" w:rsidRDefault="00BD5472" w:rsidP="00BD547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17E8B">
              <w:rPr>
                <w:rFonts w:cs="Arial"/>
                <w:b/>
                <w:bCs/>
                <w:sz w:val="20"/>
                <w:szCs w:val="20"/>
              </w:rPr>
              <w:t>-Tribunal Superior de V/cencio</w:t>
            </w:r>
          </w:p>
          <w:p w:rsidR="00BD5472" w:rsidRPr="00BD5472" w:rsidRDefault="00717E8B" w:rsidP="00BD5472">
            <w:pPr>
              <w:rPr>
                <w:rFonts w:cs="Arial"/>
                <w:color w:val="FF0000"/>
                <w:sz w:val="20"/>
                <w:szCs w:val="20"/>
              </w:rPr>
            </w:pPr>
            <w:r w:rsidRPr="00717E8B">
              <w:rPr>
                <w:rFonts w:cs="Arial"/>
                <w:sz w:val="20"/>
                <w:szCs w:val="20"/>
              </w:rPr>
              <w:t xml:space="preserve">- </w:t>
            </w:r>
            <w:r w:rsidRPr="00717E8B">
              <w:rPr>
                <w:rFonts w:cs="Arial"/>
                <w:b/>
                <w:sz w:val="20"/>
                <w:szCs w:val="20"/>
              </w:rPr>
              <w:t>Corte Suprema de Justicia – sala Laboral</w:t>
            </w:r>
          </w:p>
        </w:tc>
        <w:tc>
          <w:tcPr>
            <w:tcW w:w="3969" w:type="dxa"/>
          </w:tcPr>
          <w:p w:rsidR="00A65E8F" w:rsidRDefault="00A65E8F" w:rsidP="007F1F0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A9362E" w:rsidRPr="00BC5A7A" w:rsidRDefault="005845EB" w:rsidP="007F1F0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65E8F">
              <w:rPr>
                <w:rFonts w:cs="Arial"/>
                <w:b/>
                <w:bCs/>
                <w:sz w:val="20"/>
                <w:szCs w:val="20"/>
              </w:rPr>
              <w:t>CONSIDERACIONES DE LA CORTE CONSTITUCIONAL</w:t>
            </w:r>
          </w:p>
        </w:tc>
        <w:tc>
          <w:tcPr>
            <w:tcW w:w="2343" w:type="dxa"/>
            <w:gridSpan w:val="2"/>
          </w:tcPr>
          <w:p w:rsidR="00F66204" w:rsidRPr="00F66204" w:rsidRDefault="00F66204" w:rsidP="007F1F0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9362E" w:rsidRPr="00F66204" w:rsidRDefault="00EA5606" w:rsidP="007F1F0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6204">
              <w:rPr>
                <w:rFonts w:cs="Arial"/>
                <w:b/>
                <w:sz w:val="20"/>
                <w:szCs w:val="20"/>
              </w:rPr>
              <w:t>FALL</w:t>
            </w:r>
            <w:r w:rsidR="001C37F4" w:rsidRPr="00F66204">
              <w:rPr>
                <w:rFonts w:cs="Arial"/>
                <w:b/>
                <w:sz w:val="20"/>
                <w:szCs w:val="20"/>
              </w:rPr>
              <w:t>O</w:t>
            </w:r>
          </w:p>
        </w:tc>
      </w:tr>
      <w:tr w:rsidR="004B1A52" w:rsidRPr="00BC5A7A" w:rsidTr="00DF71E8">
        <w:trPr>
          <w:trHeight w:val="416"/>
        </w:trPr>
        <w:tc>
          <w:tcPr>
            <w:tcW w:w="2052" w:type="dxa"/>
          </w:tcPr>
          <w:p w:rsidR="007E3A3A" w:rsidRPr="00DF71E8" w:rsidRDefault="007E3A3A" w:rsidP="007E3A3A">
            <w:pPr>
              <w:jc w:val="both"/>
              <w:rPr>
                <w:rFonts w:cs="Arial"/>
                <w:sz w:val="20"/>
                <w:szCs w:val="20"/>
              </w:rPr>
            </w:pPr>
            <w:r w:rsidRPr="00DF71E8">
              <w:rPr>
                <w:rFonts w:cs="Arial"/>
                <w:sz w:val="20"/>
                <w:szCs w:val="20"/>
              </w:rPr>
              <w:t>El señor Hans Ricardo Tiuso, es administrador de la finca "Marsella", ubicada en la vía que de Villavicencio conduce a Puerto López.</w:t>
            </w:r>
            <w:r w:rsidR="004B1A52" w:rsidRPr="00DF71E8">
              <w:rPr>
                <w:rFonts w:cs="Arial"/>
                <w:sz w:val="20"/>
                <w:szCs w:val="20"/>
              </w:rPr>
              <w:t xml:space="preserve"> </w:t>
            </w:r>
            <w:r w:rsidRPr="00DF71E8">
              <w:rPr>
                <w:rFonts w:cs="Arial"/>
                <w:sz w:val="20"/>
                <w:szCs w:val="20"/>
              </w:rPr>
              <w:t>Continuo a dicho predio se organizará y pondrá en funcionamiento el basurero de la ciudad de Villavicencio, argumentando el actor que esta actividad contaminará el ambiente y todo el sistema ecológico de la región de influencia del mismo.</w:t>
            </w:r>
            <w:r w:rsidR="004B1A52" w:rsidRPr="00DF71E8">
              <w:rPr>
                <w:rFonts w:cs="Arial"/>
                <w:sz w:val="20"/>
                <w:szCs w:val="20"/>
              </w:rPr>
              <w:t xml:space="preserve"> </w:t>
            </w:r>
            <w:r w:rsidRPr="00DF71E8">
              <w:rPr>
                <w:rFonts w:cs="Arial"/>
                <w:sz w:val="20"/>
                <w:szCs w:val="20"/>
              </w:rPr>
              <w:t xml:space="preserve">La empresa Bioagrícola del Llano S.A., agrega el demandante, tomó en arrendamiento este </w:t>
            </w:r>
            <w:r w:rsidRPr="00DF71E8">
              <w:rPr>
                <w:rFonts w:cs="Arial"/>
                <w:sz w:val="20"/>
                <w:szCs w:val="20"/>
              </w:rPr>
              <w:lastRenderedPageBreak/>
              <w:t>terreno para convertirlo en relleno sanitario, que empezaría a funcionar el 1° de enero</w:t>
            </w:r>
          </w:p>
          <w:p w:rsidR="002646FE" w:rsidRPr="00DF71E8" w:rsidRDefault="007E3A3A" w:rsidP="007E3A3A">
            <w:pPr>
              <w:jc w:val="both"/>
              <w:rPr>
                <w:rFonts w:cs="Arial"/>
                <w:sz w:val="20"/>
                <w:szCs w:val="20"/>
              </w:rPr>
            </w:pPr>
            <w:r w:rsidRPr="00DF71E8">
              <w:rPr>
                <w:rFonts w:cs="Arial"/>
                <w:sz w:val="20"/>
                <w:szCs w:val="20"/>
              </w:rPr>
              <w:t>de 1996.</w:t>
            </w:r>
          </w:p>
        </w:tc>
        <w:tc>
          <w:tcPr>
            <w:tcW w:w="2410" w:type="dxa"/>
          </w:tcPr>
          <w:p w:rsidR="004C3FDD" w:rsidRPr="00BD5472" w:rsidRDefault="004C3FDD" w:rsidP="00BD5472">
            <w:pPr>
              <w:jc w:val="both"/>
              <w:rPr>
                <w:rFonts w:cs="Arial"/>
                <w:sz w:val="20"/>
                <w:szCs w:val="20"/>
              </w:rPr>
            </w:pPr>
            <w:r w:rsidRPr="00BD5472">
              <w:rPr>
                <w:rFonts w:cs="Arial"/>
                <w:sz w:val="20"/>
                <w:szCs w:val="20"/>
              </w:rPr>
              <w:lastRenderedPageBreak/>
              <w:t>Por considerar el demandante que se afectarán sus derechos fundamentales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 con la puesta en marcha del proyecto formuló</w:t>
            </w:r>
            <w:r w:rsidRPr="00BD5472">
              <w:rPr>
                <w:rFonts w:cs="Arial"/>
                <w:sz w:val="20"/>
                <w:szCs w:val="20"/>
              </w:rPr>
              <w:t xml:space="preserve"> las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 </w:t>
            </w:r>
            <w:r w:rsidRPr="00BD5472">
              <w:rPr>
                <w:rFonts w:cs="Arial"/>
                <w:sz w:val="20"/>
                <w:szCs w:val="20"/>
              </w:rPr>
              <w:t>siguientes peticiones:</w:t>
            </w:r>
          </w:p>
          <w:p w:rsidR="00BD5472" w:rsidRPr="00BD5472" w:rsidRDefault="004C3FDD" w:rsidP="00BD5472">
            <w:pPr>
              <w:jc w:val="both"/>
              <w:rPr>
                <w:rFonts w:cs="Arial"/>
                <w:sz w:val="20"/>
                <w:szCs w:val="20"/>
              </w:rPr>
            </w:pPr>
            <w:r w:rsidRPr="00BD5472">
              <w:rPr>
                <w:rFonts w:cs="Arial"/>
                <w:sz w:val="20"/>
                <w:szCs w:val="20"/>
              </w:rPr>
              <w:t xml:space="preserve">1.) 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Solicitó </w:t>
            </w:r>
            <w:r w:rsidRPr="00BD5472">
              <w:rPr>
                <w:rFonts w:cs="Arial"/>
                <w:sz w:val="20"/>
                <w:szCs w:val="20"/>
              </w:rPr>
              <w:t xml:space="preserve">la protección inmediata </w:t>
            </w:r>
            <w:r w:rsidR="00BD5472" w:rsidRPr="00BD5472">
              <w:rPr>
                <w:rFonts w:cs="Arial"/>
                <w:sz w:val="20"/>
                <w:szCs w:val="20"/>
              </w:rPr>
              <w:t>a los derechos</w:t>
            </w:r>
            <w:r w:rsidRPr="00BD5472">
              <w:rPr>
                <w:rFonts w:cs="Arial"/>
                <w:sz w:val="20"/>
                <w:szCs w:val="20"/>
              </w:rPr>
              <w:t xml:space="preserve"> </w:t>
            </w:r>
            <w:r w:rsidR="00BD5472" w:rsidRPr="00BD5472">
              <w:rPr>
                <w:rFonts w:cs="Arial"/>
                <w:sz w:val="20"/>
                <w:szCs w:val="20"/>
              </w:rPr>
              <w:t>a</w:t>
            </w:r>
            <w:r w:rsidRPr="00BD5472">
              <w:rPr>
                <w:rFonts w:cs="Arial"/>
                <w:sz w:val="20"/>
                <w:szCs w:val="20"/>
              </w:rPr>
              <w:t xml:space="preserve"> la salud y el saneamiento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 </w:t>
            </w:r>
            <w:r w:rsidRPr="00BD5472">
              <w:rPr>
                <w:rFonts w:cs="Arial"/>
                <w:sz w:val="20"/>
                <w:szCs w:val="20"/>
              </w:rPr>
              <w:t>ambiental</w:t>
            </w:r>
            <w:r w:rsidR="00BD5472" w:rsidRPr="00BD5472">
              <w:rPr>
                <w:rFonts w:cs="Arial"/>
                <w:sz w:val="20"/>
                <w:szCs w:val="20"/>
              </w:rPr>
              <w:t>;</w:t>
            </w:r>
          </w:p>
          <w:p w:rsidR="004C3FDD" w:rsidRPr="00BD5472" w:rsidRDefault="004C3FDD" w:rsidP="00BD5472">
            <w:pPr>
              <w:jc w:val="both"/>
              <w:rPr>
                <w:rFonts w:cs="Arial"/>
                <w:sz w:val="20"/>
                <w:szCs w:val="20"/>
              </w:rPr>
            </w:pPr>
            <w:r w:rsidRPr="00BD5472">
              <w:rPr>
                <w:rFonts w:cs="Arial"/>
                <w:sz w:val="20"/>
                <w:szCs w:val="20"/>
              </w:rPr>
              <w:t xml:space="preserve">2.) 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Se </w:t>
            </w:r>
            <w:r w:rsidRPr="00BD5472">
              <w:rPr>
                <w:rFonts w:cs="Arial"/>
                <w:sz w:val="20"/>
                <w:szCs w:val="20"/>
              </w:rPr>
              <w:t>ordene la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 </w:t>
            </w:r>
            <w:r w:rsidRPr="00BD5472">
              <w:rPr>
                <w:rFonts w:cs="Arial"/>
                <w:sz w:val="20"/>
                <w:szCs w:val="20"/>
              </w:rPr>
              <w:t>suspensión del acto concreto de la ejecución del contrato celebrado por la</w:t>
            </w:r>
            <w:r w:rsidR="00BD5472" w:rsidRPr="00BD5472">
              <w:rPr>
                <w:rFonts w:cs="Arial"/>
                <w:sz w:val="20"/>
                <w:szCs w:val="20"/>
              </w:rPr>
              <w:t xml:space="preserve"> </w:t>
            </w:r>
            <w:r w:rsidRPr="00BD5472">
              <w:rPr>
                <w:rFonts w:cs="Arial"/>
                <w:sz w:val="20"/>
                <w:szCs w:val="20"/>
              </w:rPr>
              <w:t>entid</w:t>
            </w:r>
            <w:r w:rsidR="00BD5472" w:rsidRPr="00BD5472">
              <w:rPr>
                <w:rFonts w:cs="Arial"/>
                <w:sz w:val="20"/>
                <w:szCs w:val="20"/>
              </w:rPr>
              <w:t>ad "Bioagrícola del Llano S.A.</w:t>
            </w:r>
          </w:p>
          <w:p w:rsidR="004C3FDD" w:rsidRPr="00BD5472" w:rsidRDefault="004C3FDD" w:rsidP="00BD547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C3FDD" w:rsidRPr="00BD5472" w:rsidRDefault="004C3FDD" w:rsidP="00BD547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C3FDD" w:rsidRPr="00BD5472" w:rsidRDefault="004C3FDD" w:rsidP="00BD547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C3FDD" w:rsidRPr="00BD5472" w:rsidRDefault="004C3FDD" w:rsidP="004C3F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E0546" w:rsidRPr="00BD5472" w:rsidRDefault="00BE0546" w:rsidP="002F2D28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7E8B" w:rsidRPr="00F66204" w:rsidRDefault="00717E8B" w:rsidP="00717E8B">
            <w:pPr>
              <w:jc w:val="center"/>
              <w:rPr>
                <w:rFonts w:cs="Arial"/>
                <w:sz w:val="20"/>
                <w:szCs w:val="20"/>
              </w:rPr>
            </w:pPr>
            <w:r w:rsidRPr="00F66204">
              <w:rPr>
                <w:rFonts w:cs="Arial"/>
                <w:b/>
                <w:bCs/>
                <w:sz w:val="20"/>
                <w:szCs w:val="20"/>
              </w:rPr>
              <w:t>TRIBUNAL SUPERIOR DE V/CENCIO</w:t>
            </w:r>
          </w:p>
          <w:p w:rsidR="00717E8B" w:rsidRPr="00F66204" w:rsidRDefault="00BD5472" w:rsidP="00717E8B">
            <w:pPr>
              <w:jc w:val="both"/>
              <w:rPr>
                <w:rFonts w:cs="Arial"/>
                <w:sz w:val="20"/>
                <w:szCs w:val="20"/>
              </w:rPr>
            </w:pPr>
            <w:r w:rsidRPr="00F66204">
              <w:rPr>
                <w:rFonts w:cs="Arial"/>
                <w:sz w:val="20"/>
                <w:szCs w:val="20"/>
              </w:rPr>
              <w:t>En fallo del 15 de diciembre de 1995 concedió la tutela, ordenando al Alcalde de Villavicencio suspender el relleno sanitario y el botadero de basuras mientras no se solucionen las causas que pueden dar lugar a contaminación de las aguas tanto en la superficie como subterráneas de que da cuenta el informe del SERVICIO DE SALUD DEL META y previa licencia ambiental otorgada por CORPORINOQUIA</w:t>
            </w:r>
            <w:r w:rsidR="00717E8B" w:rsidRPr="00F66204">
              <w:rPr>
                <w:rFonts w:cs="Arial"/>
                <w:sz w:val="20"/>
                <w:szCs w:val="20"/>
              </w:rPr>
              <w:t>.</w:t>
            </w:r>
          </w:p>
          <w:p w:rsidR="00717E8B" w:rsidRPr="00F66204" w:rsidRDefault="00717E8B" w:rsidP="00717E8B">
            <w:pPr>
              <w:jc w:val="both"/>
              <w:rPr>
                <w:rFonts w:cs="Arial"/>
                <w:sz w:val="20"/>
                <w:szCs w:val="20"/>
              </w:rPr>
            </w:pPr>
            <w:r w:rsidRPr="00F66204">
              <w:rPr>
                <w:rFonts w:cs="Arial"/>
                <w:sz w:val="20"/>
                <w:szCs w:val="20"/>
              </w:rPr>
              <w:t>___________________________</w:t>
            </w:r>
          </w:p>
          <w:p w:rsidR="00A9362E" w:rsidRPr="00F66204" w:rsidRDefault="00717E8B" w:rsidP="00717E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6204">
              <w:rPr>
                <w:rFonts w:cs="Arial"/>
                <w:b/>
                <w:sz w:val="20"/>
                <w:szCs w:val="20"/>
              </w:rPr>
              <w:t>CORTE SUPREMA DE JUSTICIA – SALA LABORAL</w:t>
            </w:r>
          </w:p>
          <w:p w:rsidR="00717E8B" w:rsidRPr="00F66204" w:rsidRDefault="00717E8B" w:rsidP="00717E8B">
            <w:pPr>
              <w:jc w:val="both"/>
              <w:rPr>
                <w:rFonts w:cs="Arial"/>
                <w:sz w:val="20"/>
                <w:szCs w:val="20"/>
              </w:rPr>
            </w:pPr>
            <w:r w:rsidRPr="00F66204">
              <w:rPr>
                <w:rFonts w:cs="Arial"/>
                <w:sz w:val="20"/>
                <w:szCs w:val="20"/>
              </w:rPr>
              <w:t xml:space="preserve">Este alto Tribunal confirmó la decisión de primera instancia, advirtiendo </w:t>
            </w:r>
            <w:r w:rsidRPr="00F66204">
              <w:rPr>
                <w:rFonts w:cs="Arial"/>
                <w:sz w:val="20"/>
                <w:szCs w:val="20"/>
                <w:u w:val="single"/>
              </w:rPr>
              <w:t xml:space="preserve">que el juez de tutela carece de competencia para </w:t>
            </w:r>
            <w:r w:rsidRPr="00F66204">
              <w:rPr>
                <w:rFonts w:cs="Arial"/>
                <w:sz w:val="20"/>
                <w:szCs w:val="20"/>
                <w:u w:val="single"/>
              </w:rPr>
              <w:lastRenderedPageBreak/>
              <w:t>señalar de antemano que, si las autoridades demandadas solucionan las causas que pueden originar la contaminación y se cumplen con los requisitos de ley, el referido proyecto podrá funcionar.</w:t>
            </w:r>
          </w:p>
          <w:p w:rsidR="00717E8B" w:rsidRPr="00F66204" w:rsidRDefault="00717E8B" w:rsidP="00717E8B">
            <w:pPr>
              <w:jc w:val="both"/>
              <w:rPr>
                <w:rFonts w:cs="Arial"/>
                <w:sz w:val="20"/>
                <w:szCs w:val="20"/>
              </w:rPr>
            </w:pPr>
            <w:r w:rsidRPr="00F66204">
              <w:rPr>
                <w:rFonts w:cs="Arial"/>
                <w:sz w:val="20"/>
                <w:szCs w:val="20"/>
              </w:rPr>
              <w:t>Así mismo, manifestó que es deber de las autoridades municipales propender la solución de los problemas originados en la prestación de los servicios públicos domiciliarios.</w:t>
            </w:r>
          </w:p>
          <w:p w:rsidR="00717E8B" w:rsidRPr="00F66204" w:rsidRDefault="00717E8B" w:rsidP="00717E8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5E8F" w:rsidRPr="004B1A52" w:rsidRDefault="00A65E8F" w:rsidP="00A65E8F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B1A52">
              <w:rPr>
                <w:rFonts w:cs="Arial"/>
                <w:b/>
                <w:i/>
                <w:sz w:val="18"/>
                <w:szCs w:val="18"/>
              </w:rPr>
              <w:lastRenderedPageBreak/>
              <w:t>LA PROTECCIÓN DE LA VIDA, LA SALUD Y EL AMBIENTE A TRAVÉS DE LA ACCIÓN DE TUTELA.</w:t>
            </w:r>
          </w:p>
          <w:p w:rsidR="00B0198E" w:rsidRPr="004B1A52" w:rsidRDefault="00A65E8F" w:rsidP="00A65E8F">
            <w:pPr>
              <w:jc w:val="both"/>
              <w:rPr>
                <w:rFonts w:cs="Arial"/>
                <w:sz w:val="18"/>
                <w:szCs w:val="18"/>
              </w:rPr>
            </w:pPr>
            <w:r w:rsidRPr="004B1A52">
              <w:rPr>
                <w:rFonts w:cs="Arial"/>
                <w:sz w:val="18"/>
                <w:szCs w:val="18"/>
              </w:rPr>
              <w:t>Dentro de la noción de Estado Social de Derecho, se encuentra como fin que la actividad del Estado debe buscar el beneficio de la sociedad Buscando formular propuestas, soluciones y realizaciones, porque debe</w:t>
            </w:r>
            <w:r w:rsidR="004B1A52" w:rsidRPr="004B1A52">
              <w:rPr>
                <w:rFonts w:cs="Arial"/>
                <w:sz w:val="18"/>
                <w:szCs w:val="18"/>
              </w:rPr>
              <w:t xml:space="preserve"> </w:t>
            </w:r>
            <w:r w:rsidRPr="004B1A52">
              <w:rPr>
                <w:rFonts w:cs="Arial"/>
                <w:sz w:val="18"/>
                <w:szCs w:val="18"/>
              </w:rPr>
              <w:t>responder a los grandes retos que suponen, "el bienestar general y el mejoramiento de su calidad de vida" de las personas. En varias ocasiones la Corte ha establecido que cuando el derecho a gozar de un ambiente sano se protege a través de la acción popular, es posible acudir a la acción de tutela en los casos en que la violación o amenaza de vulneración de aquél, implica la transgresión o la inminencia de la violación de un derecho constitucional fundamental con respecto a una o varias personas determinadas.</w:t>
            </w:r>
          </w:p>
          <w:p w:rsidR="00A65E8F" w:rsidRPr="004B1A52" w:rsidRDefault="00A65E8F" w:rsidP="00A65E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A52">
              <w:rPr>
                <w:rFonts w:cs="Arial"/>
                <w:b/>
                <w:sz w:val="18"/>
                <w:szCs w:val="18"/>
              </w:rPr>
              <w:t>PROCEDENCIA DE LA TUTELA PARA PROTEGER LOS DERECHOS DEL PETICIONARIO A LA VIDA, LA SALUD Y A GOZAR DE UN AMBIENTE SANO.</w:t>
            </w:r>
          </w:p>
          <w:p w:rsidR="00F66204" w:rsidRPr="004B1A52" w:rsidRDefault="00F66204" w:rsidP="00F66204">
            <w:pPr>
              <w:jc w:val="both"/>
              <w:rPr>
                <w:rFonts w:cs="Arial"/>
                <w:sz w:val="18"/>
                <w:szCs w:val="18"/>
              </w:rPr>
            </w:pPr>
            <w:r w:rsidRPr="004B1A52">
              <w:rPr>
                <w:rFonts w:cs="Arial"/>
                <w:sz w:val="18"/>
                <w:szCs w:val="18"/>
              </w:rPr>
              <w:t>La Corte manifestó que l</w:t>
            </w:r>
            <w:r w:rsidR="00A65E8F" w:rsidRPr="004B1A52">
              <w:rPr>
                <w:rFonts w:cs="Arial"/>
                <w:sz w:val="18"/>
                <w:szCs w:val="18"/>
              </w:rPr>
              <w:t xml:space="preserve">a contaminación por basuras afecta de manera grave el ambiente, </w:t>
            </w:r>
            <w:r w:rsidRPr="004B1A52">
              <w:rPr>
                <w:rFonts w:cs="Arial"/>
                <w:sz w:val="18"/>
                <w:szCs w:val="18"/>
              </w:rPr>
              <w:t xml:space="preserve">debido a que </w:t>
            </w:r>
            <w:r w:rsidR="00A65E8F" w:rsidRPr="004B1A52">
              <w:rPr>
                <w:rFonts w:cs="Arial"/>
                <w:sz w:val="18"/>
                <w:szCs w:val="18"/>
              </w:rPr>
              <w:t>produce no sólo la alteración del aire, de las aguas y en general de los</w:t>
            </w:r>
            <w:r w:rsidRPr="004B1A52">
              <w:rPr>
                <w:rFonts w:cs="Arial"/>
                <w:sz w:val="18"/>
                <w:szCs w:val="18"/>
              </w:rPr>
              <w:t xml:space="preserve"> </w:t>
            </w:r>
            <w:r w:rsidR="00A65E8F" w:rsidRPr="004B1A52">
              <w:rPr>
                <w:rFonts w:cs="Arial"/>
                <w:sz w:val="18"/>
                <w:szCs w:val="18"/>
              </w:rPr>
              <w:t>ecosistemas, sino d</w:t>
            </w:r>
            <w:r w:rsidRPr="004B1A52">
              <w:rPr>
                <w:rFonts w:cs="Arial"/>
                <w:sz w:val="18"/>
                <w:szCs w:val="18"/>
              </w:rPr>
              <w:t>el entorno físico y del paisaje,</w:t>
            </w:r>
            <w:r w:rsidR="00A65E8F" w:rsidRPr="004B1A52">
              <w:rPr>
                <w:rFonts w:cs="Arial"/>
                <w:sz w:val="18"/>
                <w:szCs w:val="18"/>
              </w:rPr>
              <w:t xml:space="preserve"> conlleva</w:t>
            </w:r>
            <w:r w:rsidRPr="004B1A52">
              <w:rPr>
                <w:rFonts w:cs="Arial"/>
                <w:sz w:val="18"/>
                <w:szCs w:val="18"/>
              </w:rPr>
              <w:t>ndo a</w:t>
            </w:r>
            <w:r w:rsidR="00A65E8F" w:rsidRPr="004B1A52">
              <w:rPr>
                <w:rFonts w:cs="Arial"/>
                <w:sz w:val="18"/>
                <w:szCs w:val="18"/>
              </w:rPr>
              <w:t xml:space="preserve"> la vulneración o amenaza </w:t>
            </w:r>
            <w:r w:rsidR="00A65E8F" w:rsidRPr="004B1A52">
              <w:rPr>
                <w:rFonts w:cs="Arial"/>
                <w:sz w:val="18"/>
                <w:szCs w:val="18"/>
              </w:rPr>
              <w:lastRenderedPageBreak/>
              <w:t>de</w:t>
            </w:r>
            <w:r w:rsidRPr="004B1A52">
              <w:rPr>
                <w:rFonts w:cs="Arial"/>
                <w:sz w:val="18"/>
                <w:szCs w:val="18"/>
              </w:rPr>
              <w:t xml:space="preserve"> </w:t>
            </w:r>
            <w:r w:rsidR="00A65E8F" w:rsidRPr="004B1A52">
              <w:rPr>
                <w:rFonts w:cs="Arial"/>
                <w:sz w:val="18"/>
                <w:szCs w:val="18"/>
              </w:rPr>
              <w:t xml:space="preserve">violación de los derechos a la vida, a la integridad física y a la salud. </w:t>
            </w:r>
            <w:r w:rsidRPr="004B1A52">
              <w:rPr>
                <w:rFonts w:cs="Arial"/>
                <w:sz w:val="18"/>
                <w:szCs w:val="18"/>
              </w:rPr>
              <w:t>Así mismo, dice que las autoridades municipales deben velar por la correcta disposición de sus residuos sin vulnerar los derechos de sus administrados.</w:t>
            </w:r>
          </w:p>
          <w:p w:rsidR="00F66204" w:rsidRPr="004B1A52" w:rsidRDefault="00F66204" w:rsidP="00A65E8F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66204" w:rsidRPr="004B1A52" w:rsidRDefault="00F66204" w:rsidP="00F66204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4B1A52">
              <w:rPr>
                <w:rFonts w:cs="Arial"/>
                <w:sz w:val="18"/>
                <w:szCs w:val="18"/>
              </w:rPr>
              <w:t>Finalmente se pronuncia sobre las pruebas que tuvo en cuenta el juez de primera instancia en el sentido que no se llevaron a cabo todas las actuaciones administrativas para tener los permisos necesarios y de esta manera llevar a cabo la obra en mención sin l</w:t>
            </w:r>
            <w:r w:rsidR="00A65E8F" w:rsidRPr="004B1A52">
              <w:rPr>
                <w:rFonts w:cs="Arial"/>
                <w:sz w:val="18"/>
                <w:szCs w:val="18"/>
              </w:rPr>
              <w:t xml:space="preserve">a ausencia de los estudios técnicos que </w:t>
            </w:r>
            <w:r w:rsidRPr="004B1A52">
              <w:rPr>
                <w:rFonts w:cs="Arial"/>
                <w:sz w:val="18"/>
                <w:szCs w:val="18"/>
              </w:rPr>
              <w:t xml:space="preserve">permitan </w:t>
            </w:r>
            <w:r w:rsidR="00A65E8F" w:rsidRPr="004B1A52">
              <w:rPr>
                <w:rFonts w:cs="Arial"/>
                <w:sz w:val="18"/>
                <w:szCs w:val="18"/>
              </w:rPr>
              <w:t xml:space="preserve">la ejecución de la obra </w:t>
            </w:r>
            <w:r w:rsidRPr="004B1A52">
              <w:rPr>
                <w:rFonts w:cs="Arial"/>
                <w:sz w:val="18"/>
                <w:szCs w:val="18"/>
              </w:rPr>
              <w:t xml:space="preserve">en óptimas condiciones. Al respecto dijo: </w:t>
            </w:r>
            <w:r w:rsidRPr="004B1A52">
              <w:rPr>
                <w:rFonts w:cs="Arial"/>
                <w:i/>
                <w:sz w:val="18"/>
                <w:szCs w:val="18"/>
              </w:rPr>
              <w:t>“Claros mandatos constitucionales obligan a encuadrar la actividad del Estado dentro de ciertos comportamientos, de manera que se permita, de un lado, prevenir y controlar los factores de deterioro ambiental y, de otro, alcanzar las finalidades sociales, que dentro del Estado de Derecho corresponden al mejoramiento de la calidad de vida y el bienestar general de la población”.</w:t>
            </w:r>
          </w:p>
        </w:tc>
        <w:tc>
          <w:tcPr>
            <w:tcW w:w="2343" w:type="dxa"/>
            <w:gridSpan w:val="2"/>
          </w:tcPr>
          <w:p w:rsidR="00020F77" w:rsidRPr="00F66204" w:rsidRDefault="00E601EC" w:rsidP="004B1A52">
            <w:pPr>
              <w:jc w:val="both"/>
              <w:rPr>
                <w:rFonts w:eastAsia="Batang" w:cs="Arial"/>
                <w:sz w:val="20"/>
                <w:szCs w:val="20"/>
              </w:rPr>
            </w:pPr>
            <w:r w:rsidRPr="00F66204">
              <w:rPr>
                <w:rFonts w:cs="Arial"/>
                <w:sz w:val="20"/>
                <w:szCs w:val="20"/>
              </w:rPr>
              <w:lastRenderedPageBreak/>
              <w:t>Analizado</w:t>
            </w:r>
            <w:r w:rsidR="008E2869" w:rsidRPr="00F66204">
              <w:rPr>
                <w:rFonts w:cs="Arial"/>
                <w:sz w:val="20"/>
                <w:szCs w:val="20"/>
              </w:rPr>
              <w:t xml:space="preserve"> el caso y en mérito de lo expuesto la HONORABLE CORTE</w:t>
            </w:r>
            <w:r w:rsidR="00583CB4" w:rsidRPr="00F66204">
              <w:rPr>
                <w:rFonts w:cs="Arial"/>
                <w:sz w:val="20"/>
                <w:szCs w:val="20"/>
              </w:rPr>
              <w:t xml:space="preserve"> CONSTITUCIONAL</w:t>
            </w:r>
            <w:r w:rsidR="008E2869" w:rsidRPr="00F66204">
              <w:rPr>
                <w:rFonts w:cs="Arial"/>
                <w:sz w:val="20"/>
                <w:szCs w:val="20"/>
              </w:rPr>
              <w:t xml:space="preserve"> </w:t>
            </w:r>
            <w:r w:rsidR="004B1A52" w:rsidRPr="00F66204">
              <w:rPr>
                <w:rFonts w:cs="Arial"/>
                <w:sz w:val="20"/>
                <w:szCs w:val="20"/>
              </w:rPr>
              <w:t>resolvió</w:t>
            </w:r>
            <w:r w:rsidR="004B1A52">
              <w:rPr>
                <w:rFonts w:cs="Arial"/>
                <w:sz w:val="20"/>
                <w:szCs w:val="20"/>
              </w:rPr>
              <w:t xml:space="preserve"> </w:t>
            </w:r>
            <w:r w:rsidR="004B1A52">
              <w:rPr>
                <w:rFonts w:cs="Arial"/>
                <w:b/>
                <w:sz w:val="20"/>
                <w:szCs w:val="20"/>
              </w:rPr>
              <w:t>CONFIRMAR</w:t>
            </w:r>
            <w:r w:rsidR="00F66204" w:rsidRPr="00F6620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6204" w:rsidRPr="004B1A52">
              <w:rPr>
                <w:rFonts w:cs="Arial"/>
                <w:sz w:val="20"/>
                <w:szCs w:val="20"/>
              </w:rPr>
              <w:t>la sentencia de fecha treinta y uno (31) de</w:t>
            </w:r>
            <w:r w:rsidR="004B1A52" w:rsidRPr="004B1A52">
              <w:rPr>
                <w:rFonts w:cs="Arial"/>
                <w:sz w:val="20"/>
                <w:szCs w:val="20"/>
              </w:rPr>
              <w:t xml:space="preserve"> </w:t>
            </w:r>
            <w:r w:rsidR="00F66204" w:rsidRPr="004B1A52">
              <w:rPr>
                <w:rFonts w:cs="Arial"/>
                <w:sz w:val="20"/>
                <w:szCs w:val="20"/>
              </w:rPr>
              <w:t>enero de mil novecientos noventa y seis (1996) proferida por la Corte</w:t>
            </w:r>
            <w:r w:rsidR="004B1A52" w:rsidRPr="004B1A52">
              <w:rPr>
                <w:rFonts w:cs="Arial"/>
                <w:sz w:val="20"/>
                <w:szCs w:val="20"/>
              </w:rPr>
              <w:t xml:space="preserve"> </w:t>
            </w:r>
            <w:r w:rsidR="00F66204" w:rsidRPr="004B1A52">
              <w:rPr>
                <w:rFonts w:cs="Arial"/>
                <w:sz w:val="20"/>
                <w:szCs w:val="20"/>
              </w:rPr>
              <w:t>Suprema de Justicia -Sala de Casación Laboral- mediante la cual se</w:t>
            </w:r>
            <w:r w:rsidR="004B1A52" w:rsidRPr="004B1A52">
              <w:rPr>
                <w:rFonts w:cs="Arial"/>
                <w:sz w:val="20"/>
                <w:szCs w:val="20"/>
              </w:rPr>
              <w:t xml:space="preserve"> </w:t>
            </w:r>
            <w:r w:rsidR="00F66204" w:rsidRPr="004B1A52">
              <w:rPr>
                <w:rFonts w:cs="Arial"/>
                <w:sz w:val="20"/>
                <w:szCs w:val="20"/>
              </w:rPr>
              <w:t>confirmó la providencia del Tribunal Superior del Distrito Judicial de</w:t>
            </w:r>
            <w:r w:rsidR="004B1A52" w:rsidRPr="004B1A52">
              <w:rPr>
                <w:rFonts w:cs="Arial"/>
                <w:sz w:val="20"/>
                <w:szCs w:val="20"/>
              </w:rPr>
              <w:t xml:space="preserve"> </w:t>
            </w:r>
            <w:r w:rsidR="00F66204" w:rsidRPr="004B1A52">
              <w:rPr>
                <w:rFonts w:cs="Arial"/>
                <w:sz w:val="20"/>
                <w:szCs w:val="20"/>
              </w:rPr>
              <w:t>Villavicencio que concedió la tutela impetrada por el ciudadano Hans</w:t>
            </w:r>
            <w:r w:rsidR="004B1A52" w:rsidRPr="004B1A52">
              <w:rPr>
                <w:rFonts w:cs="Arial"/>
                <w:sz w:val="20"/>
                <w:szCs w:val="20"/>
              </w:rPr>
              <w:t xml:space="preserve"> </w:t>
            </w:r>
            <w:r w:rsidR="00F66204" w:rsidRPr="004B1A52">
              <w:rPr>
                <w:rFonts w:cs="Arial"/>
                <w:sz w:val="20"/>
                <w:szCs w:val="20"/>
              </w:rPr>
              <w:t xml:space="preserve">Ricardo </w:t>
            </w:r>
            <w:proofErr w:type="spellStart"/>
            <w:r w:rsidR="00F66204" w:rsidRPr="004B1A52">
              <w:rPr>
                <w:rFonts w:cs="Arial"/>
                <w:sz w:val="20"/>
                <w:szCs w:val="20"/>
              </w:rPr>
              <w:t>Tuiso</w:t>
            </w:r>
            <w:proofErr w:type="spellEnd"/>
            <w:r w:rsidR="00F66204" w:rsidRPr="004B1A52">
              <w:rPr>
                <w:rFonts w:cs="Arial"/>
                <w:sz w:val="20"/>
                <w:szCs w:val="20"/>
              </w:rPr>
              <w:t xml:space="preserve"> Malagón, con las precisiones hechas en la parte motiva.</w:t>
            </w:r>
          </w:p>
        </w:tc>
      </w:tr>
      <w:tr w:rsidR="001A1FA4" w:rsidRPr="00BC5A7A" w:rsidTr="008A3680">
        <w:trPr>
          <w:trHeight w:val="822"/>
        </w:trPr>
        <w:tc>
          <w:tcPr>
            <w:tcW w:w="13751" w:type="dxa"/>
            <w:gridSpan w:val="6"/>
          </w:tcPr>
          <w:p w:rsidR="00EF6DF8" w:rsidRPr="00DF71E8" w:rsidRDefault="000955EA" w:rsidP="008A6AA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F71E8">
              <w:rPr>
                <w:rFonts w:cs="Arial"/>
                <w:b/>
                <w:sz w:val="20"/>
                <w:szCs w:val="20"/>
              </w:rPr>
              <w:t>COMENTARIO:</w:t>
            </w:r>
            <w:r w:rsidR="00583CB4" w:rsidRPr="00DF71E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1A52" w:rsidRPr="00DF71E8">
              <w:rPr>
                <w:rFonts w:cs="Arial"/>
                <w:sz w:val="20"/>
                <w:szCs w:val="20"/>
              </w:rPr>
              <w:t>Resulta inadmisible que una entidad pública, que en el caso es una entidad del orden municipal</w:t>
            </w:r>
            <w:r w:rsidR="00062746" w:rsidRPr="00DF71E8">
              <w:rPr>
                <w:rFonts w:cs="Arial"/>
                <w:sz w:val="20"/>
                <w:szCs w:val="20"/>
              </w:rPr>
              <w:t xml:space="preserve">, no tenga en cuenta los derechos fundamentales de sus administrados al momento de expedir licencia alguna para la ejecución de una obra o proyecto, </w:t>
            </w:r>
            <w:r w:rsidR="00DF71E8" w:rsidRPr="00DF71E8">
              <w:rPr>
                <w:rFonts w:cs="Arial"/>
                <w:sz w:val="20"/>
                <w:szCs w:val="20"/>
              </w:rPr>
              <w:t>que,</w:t>
            </w:r>
            <w:r w:rsidR="00062746" w:rsidRPr="00DF71E8">
              <w:rPr>
                <w:rFonts w:cs="Arial"/>
                <w:sz w:val="20"/>
                <w:szCs w:val="20"/>
              </w:rPr>
              <w:t xml:space="preserve"> en este caso, es el de la destinación de un terreno para ser botadero de basura y posterior relleno sanitario sin llevar a cabo los estudios correspondientes y sin solicitar las licencias ambientales para ello. </w:t>
            </w:r>
            <w:r w:rsidR="00DF71E8" w:rsidRPr="00DF71E8">
              <w:rPr>
                <w:rFonts w:cs="Arial"/>
                <w:sz w:val="20"/>
                <w:szCs w:val="20"/>
              </w:rPr>
              <w:t>Esta situación conlleva a que se produzcan situaciones, que, si no fuera por la existencia del mecanismo de la tutela, atentarían contra los derechos fundamentales de la población.</w:t>
            </w:r>
          </w:p>
        </w:tc>
      </w:tr>
    </w:tbl>
    <w:p w:rsidR="00B5550D" w:rsidRPr="00BC5A7A" w:rsidRDefault="00B5550D" w:rsidP="008A6AA9">
      <w:pPr>
        <w:spacing w:line="240" w:lineRule="auto"/>
        <w:rPr>
          <w:rFonts w:cs="Arial"/>
          <w:b/>
          <w:color w:val="FF0000"/>
          <w:sz w:val="20"/>
          <w:szCs w:val="20"/>
        </w:rPr>
      </w:pPr>
    </w:p>
    <w:sectPr w:rsidR="00B5550D" w:rsidRPr="00BC5A7A" w:rsidSect="008A368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AE7"/>
    <w:multiLevelType w:val="hybridMultilevel"/>
    <w:tmpl w:val="62ACD3F6"/>
    <w:lvl w:ilvl="0" w:tplc="721ABD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77A"/>
    <w:multiLevelType w:val="hybridMultilevel"/>
    <w:tmpl w:val="681684F8"/>
    <w:lvl w:ilvl="0" w:tplc="90B298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068C"/>
    <w:multiLevelType w:val="hybridMultilevel"/>
    <w:tmpl w:val="4E72F29C"/>
    <w:lvl w:ilvl="0" w:tplc="AAA2B7BC">
      <w:start w:val="1"/>
      <w:numFmt w:val="lowerRoman"/>
      <w:lvlText w:val="%1)"/>
      <w:lvlJc w:val="left"/>
      <w:pPr>
        <w:ind w:left="750" w:hanging="72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E212D47"/>
    <w:multiLevelType w:val="hybridMultilevel"/>
    <w:tmpl w:val="8EC8313E"/>
    <w:lvl w:ilvl="0" w:tplc="3128575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2E"/>
    <w:rsid w:val="00020F77"/>
    <w:rsid w:val="00024998"/>
    <w:rsid w:val="00062746"/>
    <w:rsid w:val="0008555D"/>
    <w:rsid w:val="000955EA"/>
    <w:rsid w:val="000C365E"/>
    <w:rsid w:val="000F1B25"/>
    <w:rsid w:val="00140E5B"/>
    <w:rsid w:val="001A1FA4"/>
    <w:rsid w:val="001C37F4"/>
    <w:rsid w:val="001E105A"/>
    <w:rsid w:val="002646FE"/>
    <w:rsid w:val="002E1AFA"/>
    <w:rsid w:val="002E4FB0"/>
    <w:rsid w:val="002F2D28"/>
    <w:rsid w:val="002F3735"/>
    <w:rsid w:val="003579B9"/>
    <w:rsid w:val="003835BA"/>
    <w:rsid w:val="004013E6"/>
    <w:rsid w:val="00422AEB"/>
    <w:rsid w:val="004B1A52"/>
    <w:rsid w:val="004C3FDD"/>
    <w:rsid w:val="004C7A77"/>
    <w:rsid w:val="00557401"/>
    <w:rsid w:val="00583CB4"/>
    <w:rsid w:val="005845EB"/>
    <w:rsid w:val="005927CB"/>
    <w:rsid w:val="005A0285"/>
    <w:rsid w:val="0060347D"/>
    <w:rsid w:val="0061595C"/>
    <w:rsid w:val="00644085"/>
    <w:rsid w:val="006C7B50"/>
    <w:rsid w:val="006E66AD"/>
    <w:rsid w:val="006E6DA1"/>
    <w:rsid w:val="00717E8B"/>
    <w:rsid w:val="00722D11"/>
    <w:rsid w:val="00763030"/>
    <w:rsid w:val="00766692"/>
    <w:rsid w:val="007E26B5"/>
    <w:rsid w:val="007E3A3A"/>
    <w:rsid w:val="007F1F09"/>
    <w:rsid w:val="0083127E"/>
    <w:rsid w:val="00843A53"/>
    <w:rsid w:val="008512AD"/>
    <w:rsid w:val="00855384"/>
    <w:rsid w:val="0085548F"/>
    <w:rsid w:val="00861A96"/>
    <w:rsid w:val="008A3680"/>
    <w:rsid w:val="008A6AA9"/>
    <w:rsid w:val="008E2869"/>
    <w:rsid w:val="008F3B29"/>
    <w:rsid w:val="009704E7"/>
    <w:rsid w:val="009C5175"/>
    <w:rsid w:val="00A16635"/>
    <w:rsid w:val="00A65E8F"/>
    <w:rsid w:val="00A727EC"/>
    <w:rsid w:val="00A9362E"/>
    <w:rsid w:val="00AD2E96"/>
    <w:rsid w:val="00AF2C8A"/>
    <w:rsid w:val="00B0198E"/>
    <w:rsid w:val="00B05FE7"/>
    <w:rsid w:val="00B16D86"/>
    <w:rsid w:val="00B5550D"/>
    <w:rsid w:val="00B60A0F"/>
    <w:rsid w:val="00B60F09"/>
    <w:rsid w:val="00B96873"/>
    <w:rsid w:val="00BC5A7A"/>
    <w:rsid w:val="00BD5472"/>
    <w:rsid w:val="00BE0546"/>
    <w:rsid w:val="00C2166B"/>
    <w:rsid w:val="00C65CF4"/>
    <w:rsid w:val="00C926F0"/>
    <w:rsid w:val="00C96A77"/>
    <w:rsid w:val="00CD7B99"/>
    <w:rsid w:val="00CE62D1"/>
    <w:rsid w:val="00CE6E56"/>
    <w:rsid w:val="00D0187B"/>
    <w:rsid w:val="00D042F1"/>
    <w:rsid w:val="00D10480"/>
    <w:rsid w:val="00D22948"/>
    <w:rsid w:val="00DB2D82"/>
    <w:rsid w:val="00DD1156"/>
    <w:rsid w:val="00DF02E9"/>
    <w:rsid w:val="00DF2E58"/>
    <w:rsid w:val="00DF71E8"/>
    <w:rsid w:val="00E601EC"/>
    <w:rsid w:val="00E90C84"/>
    <w:rsid w:val="00E94E3E"/>
    <w:rsid w:val="00EA49B0"/>
    <w:rsid w:val="00EA5606"/>
    <w:rsid w:val="00EB535D"/>
    <w:rsid w:val="00ED47D4"/>
    <w:rsid w:val="00EF6DF8"/>
    <w:rsid w:val="00F66204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D2377E-B777-45E4-9630-E4AC0B61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2F3735"/>
    <w:rPr>
      <w:b/>
      <w:bCs/>
    </w:rPr>
  </w:style>
  <w:style w:type="paragraph" w:styleId="Prrafodelista">
    <w:name w:val="List Paragraph"/>
    <w:basedOn w:val="Normal"/>
    <w:uiPriority w:val="34"/>
    <w:qFormat/>
    <w:rsid w:val="007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juan.rosas</dc:creator>
  <cp:lastModifiedBy>PAOLA.MONTES</cp:lastModifiedBy>
  <cp:revision>3</cp:revision>
  <cp:lastPrinted>2014-02-03T16:03:00Z</cp:lastPrinted>
  <dcterms:created xsi:type="dcterms:W3CDTF">2017-05-30T13:51:00Z</dcterms:created>
  <dcterms:modified xsi:type="dcterms:W3CDTF">2017-05-30T13:51:00Z</dcterms:modified>
</cp:coreProperties>
</file>