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75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6"/>
        <w:gridCol w:w="2747"/>
        <w:gridCol w:w="2592"/>
        <w:gridCol w:w="2492"/>
        <w:gridCol w:w="3365"/>
        <w:gridCol w:w="49"/>
      </w:tblGrid>
      <w:tr w:rsidR="001A1FA4" w:rsidRPr="00E15181" w:rsidTr="008A3680">
        <w:trPr>
          <w:trHeight w:val="703"/>
        </w:trPr>
        <w:tc>
          <w:tcPr>
            <w:tcW w:w="13751" w:type="dxa"/>
            <w:gridSpan w:val="6"/>
          </w:tcPr>
          <w:p w:rsidR="002B410C" w:rsidRPr="005D1BE1" w:rsidRDefault="001A1FA4" w:rsidP="00557401">
            <w:pPr>
              <w:rPr>
                <w:rFonts w:ascii="Calibri" w:hAnsi="Calibri" w:cs="Calibri"/>
                <w:b/>
              </w:rPr>
            </w:pPr>
            <w:r w:rsidRPr="005D1BE1">
              <w:rPr>
                <w:rFonts w:ascii="Calibri" w:hAnsi="Calibri" w:cs="Calibri"/>
                <w:b/>
              </w:rPr>
              <w:t>CORTE CONSTITUCIONAL</w:t>
            </w:r>
            <w:r w:rsidR="00A9362E" w:rsidRPr="005D1BE1">
              <w:rPr>
                <w:rFonts w:ascii="Calibri" w:hAnsi="Calibri" w:cs="Calibri"/>
                <w:b/>
              </w:rPr>
              <w:t xml:space="preserve"> SENTENCIA </w:t>
            </w:r>
          </w:p>
          <w:p w:rsidR="00A9362E" w:rsidRPr="005D1BE1" w:rsidRDefault="00E92F93" w:rsidP="005C72C9">
            <w:pPr>
              <w:ind w:left="708" w:hanging="708"/>
              <w:rPr>
                <w:rFonts w:ascii="Calibri" w:hAnsi="Calibri" w:cs="Calibri"/>
                <w:shd w:val="clear" w:color="auto" w:fill="FFFFFF"/>
              </w:rPr>
            </w:pPr>
            <w:r w:rsidRPr="005D1BE1">
              <w:rPr>
                <w:rFonts w:ascii="Calibri" w:hAnsi="Calibri" w:cs="Calibri"/>
                <w:b/>
              </w:rPr>
              <w:t xml:space="preserve">Sentencia C </w:t>
            </w:r>
            <w:r w:rsidR="00F17790" w:rsidRPr="005D1BE1">
              <w:rPr>
                <w:rFonts w:ascii="Calibri" w:hAnsi="Calibri" w:cs="Calibri"/>
                <w:b/>
              </w:rPr>
              <w:t>035-2016 expediente D-10864</w:t>
            </w:r>
          </w:p>
          <w:p w:rsidR="00ED47D4" w:rsidRPr="005D1BE1" w:rsidRDefault="002B410C" w:rsidP="002B410C">
            <w:pPr>
              <w:rPr>
                <w:rFonts w:ascii="Calibri" w:hAnsi="Calibri" w:cs="Calibri"/>
                <w:b/>
              </w:rPr>
            </w:pPr>
            <w:r w:rsidRPr="005D1BE1">
              <w:rPr>
                <w:rFonts w:ascii="Calibri" w:hAnsi="Calibri" w:cs="Calibri"/>
                <w:shd w:val="clear" w:color="auto" w:fill="FFFFFF"/>
              </w:rPr>
              <w:t xml:space="preserve">Demanda de inconstitucionalidad, </w:t>
            </w:r>
            <w:r w:rsidR="00AC1434" w:rsidRPr="005D1BE1">
              <w:rPr>
                <w:rFonts w:ascii="Calibri" w:eastAsia="Arial Unicode MS" w:hAnsi="Calibri" w:cs="Calibri"/>
                <w:color w:val="000000"/>
                <w:shd w:val="clear" w:color="auto" w:fill="FFFFFF"/>
              </w:rPr>
              <w:t>contra el artículo 108 de la Ley 1450 de 2011, por la cual se aprueba el Plan Nacional de Desarrollo 2010-2014; y contra los artículos 20, 49, 50 (parcial), 51, 52 (parcial) y el parágrafo primero (parcial) del artículo 173 de la Ley 1753 de 2015, por la cual se aprueba el Plan Nacional de Desarrollo 2014-2018</w:t>
            </w:r>
          </w:p>
          <w:p w:rsidR="006C7B50" w:rsidRPr="005D1BE1" w:rsidRDefault="001A1FA4" w:rsidP="00557401">
            <w:pPr>
              <w:rPr>
                <w:rFonts w:ascii="Calibri" w:hAnsi="Calibri" w:cs="Calibri"/>
                <w:b/>
              </w:rPr>
            </w:pPr>
            <w:r w:rsidRPr="005D1BE1">
              <w:rPr>
                <w:rFonts w:ascii="Calibri" w:hAnsi="Calibri" w:cs="Calibri"/>
                <w:b/>
              </w:rPr>
              <w:t>ACCIONANTE:</w:t>
            </w:r>
            <w:r w:rsidR="002B410C" w:rsidRPr="005D1BE1">
              <w:rPr>
                <w:rFonts w:ascii="Calibri" w:hAnsi="Calibri" w:cs="Calibri"/>
                <w:b/>
              </w:rPr>
              <w:t xml:space="preserve"> </w:t>
            </w:r>
            <w:r w:rsidR="00F17790" w:rsidRPr="005D1BE1">
              <w:rPr>
                <w:rFonts w:ascii="Calibri" w:hAnsi="Calibri" w:cs="Calibri"/>
                <w:shd w:val="clear" w:color="auto" w:fill="FFFFFF"/>
              </w:rPr>
              <w:t>Alberto Castilla Salazar</w:t>
            </w:r>
          </w:p>
          <w:p w:rsidR="002B410C" w:rsidRPr="005D1BE1" w:rsidRDefault="002B410C" w:rsidP="002B410C">
            <w:pPr>
              <w:shd w:val="clear" w:color="auto" w:fill="FFFFFF"/>
              <w:ind w:right="51"/>
              <w:jc w:val="both"/>
              <w:textAlignment w:val="baseline"/>
              <w:rPr>
                <w:rFonts w:ascii="Calibri" w:eastAsia="Times New Roman" w:hAnsi="Calibri" w:cs="Calibri"/>
              </w:rPr>
            </w:pPr>
            <w:r w:rsidRPr="005D1BE1">
              <w:rPr>
                <w:rFonts w:ascii="Calibri" w:eastAsia="Times New Roman" w:hAnsi="Calibri" w:cs="Calibri"/>
                <w:b/>
              </w:rPr>
              <w:t>MAGISTRADA PONENTE:</w:t>
            </w:r>
            <w:r w:rsidRPr="005D1BE1">
              <w:rPr>
                <w:rFonts w:ascii="Calibri" w:eastAsia="Times New Roman" w:hAnsi="Calibri" w:cs="Calibri"/>
              </w:rPr>
              <w:t xml:space="preserve"> </w:t>
            </w:r>
            <w:r w:rsidR="00F17790" w:rsidRPr="005D1BE1">
              <w:rPr>
                <w:rFonts w:ascii="Calibri" w:eastAsia="Times New Roman" w:hAnsi="Calibri" w:cs="Calibri"/>
              </w:rPr>
              <w:t>Gloria Stella Ortiz</w:t>
            </w:r>
          </w:p>
          <w:p w:rsidR="00A9362E" w:rsidRPr="005D1BE1" w:rsidRDefault="006C7B50" w:rsidP="001454C4">
            <w:pPr>
              <w:rPr>
                <w:rFonts w:ascii="Calibri" w:hAnsi="Calibri" w:cs="Calibri"/>
                <w:color w:val="FF0000"/>
              </w:rPr>
            </w:pPr>
            <w:r w:rsidRPr="005D1BE1">
              <w:rPr>
                <w:rFonts w:ascii="Calibri" w:hAnsi="Calibri" w:cs="Calibri"/>
              </w:rPr>
              <w:t>B</w:t>
            </w:r>
            <w:r w:rsidR="001454C4" w:rsidRPr="005D1BE1">
              <w:rPr>
                <w:rFonts w:ascii="Calibri" w:hAnsi="Calibri" w:cs="Calibri"/>
              </w:rPr>
              <w:t>ogotá</w:t>
            </w:r>
            <w:r w:rsidRPr="005D1BE1">
              <w:rPr>
                <w:rFonts w:ascii="Calibri" w:hAnsi="Calibri" w:cs="Calibri"/>
              </w:rPr>
              <w:t xml:space="preserve"> D.C</w:t>
            </w:r>
            <w:r w:rsidR="001A1FA4" w:rsidRPr="005D1BE1">
              <w:rPr>
                <w:rFonts w:ascii="Calibri" w:hAnsi="Calibri" w:cs="Calibri"/>
              </w:rPr>
              <w:t>.</w:t>
            </w:r>
            <w:r w:rsidRPr="005D1BE1">
              <w:rPr>
                <w:rFonts w:ascii="Calibri" w:hAnsi="Calibri" w:cs="Calibri"/>
              </w:rPr>
              <w:t xml:space="preserve"> </w:t>
            </w:r>
            <w:r w:rsidR="001454C4" w:rsidRPr="005D1BE1">
              <w:rPr>
                <w:rFonts w:ascii="Calibri" w:hAnsi="Calibri" w:cs="Calibri"/>
              </w:rPr>
              <w:t>8 de febrero de 2016</w:t>
            </w:r>
          </w:p>
        </w:tc>
      </w:tr>
      <w:tr w:rsidR="001A1FA4" w:rsidRPr="005D1BE1" w:rsidTr="008A36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38" w:type="dxa"/>
          <w:trHeight w:val="450"/>
        </w:trPr>
        <w:tc>
          <w:tcPr>
            <w:tcW w:w="13751" w:type="dxa"/>
            <w:gridSpan w:val="5"/>
          </w:tcPr>
          <w:p w:rsidR="00A9362E" w:rsidRPr="005D1BE1" w:rsidRDefault="00A9362E" w:rsidP="006156AB">
            <w:pPr>
              <w:jc w:val="both"/>
              <w:rPr>
                <w:rFonts w:ascii="Calibri" w:hAnsi="Calibri" w:cs="Calibri"/>
                <w:b/>
              </w:rPr>
            </w:pPr>
            <w:r w:rsidRPr="006156AB">
              <w:rPr>
                <w:rFonts w:ascii="Calibri" w:hAnsi="Calibri" w:cs="Calibri"/>
                <w:b/>
              </w:rPr>
              <w:t>PROBLEMA JURIDICO:</w:t>
            </w:r>
            <w:r w:rsidR="001A1FA4" w:rsidRPr="006156AB">
              <w:rPr>
                <w:rFonts w:ascii="Calibri" w:hAnsi="Calibri" w:cs="Calibri"/>
                <w:b/>
              </w:rPr>
              <w:t xml:space="preserve"> </w:t>
            </w:r>
            <w:r w:rsidR="006156AB" w:rsidRPr="006156AB">
              <w:rPr>
                <w:rFonts w:ascii="Calibri" w:hAnsi="Calibri" w:cs="Calibri"/>
              </w:rPr>
              <w:t>Los demandantes indican que</w:t>
            </w:r>
            <w:r w:rsidR="006156AB">
              <w:rPr>
                <w:rFonts w:ascii="Calibri" w:hAnsi="Calibri" w:cs="Calibri"/>
                <w:b/>
              </w:rPr>
              <w:t xml:space="preserve"> </w:t>
            </w:r>
            <w:r w:rsidR="009606C0" w:rsidRPr="006156AB">
              <w:rPr>
                <w:bCs/>
                <w:bdr w:val="none" w:sz="0" w:space="0" w:color="auto" w:frame="1"/>
                <w:shd w:val="clear" w:color="auto" w:fill="FFFFFF"/>
              </w:rPr>
              <w:t>las áreas de reserva minera desconocen los principios de autonomía territorial, coordinación, concurrencia y subsidiariedad, e impiden a los municipios regular los usos del suelo y ordenar el territorio</w:t>
            </w:r>
            <w:r w:rsidR="009606C0" w:rsidRPr="006156AB">
              <w:rPr>
                <w:shd w:val="clear" w:color="auto" w:fill="FFFFFF"/>
              </w:rPr>
              <w:t>.</w:t>
            </w:r>
          </w:p>
        </w:tc>
      </w:tr>
      <w:tr w:rsidR="001A1FA4" w:rsidRPr="00E15181" w:rsidTr="00D10480">
        <w:trPr>
          <w:trHeight w:val="536"/>
        </w:trPr>
        <w:tc>
          <w:tcPr>
            <w:tcW w:w="2553" w:type="dxa"/>
          </w:tcPr>
          <w:p w:rsidR="00A9362E" w:rsidRPr="005D1BE1" w:rsidRDefault="00CE62D1" w:rsidP="007F1F09">
            <w:pPr>
              <w:jc w:val="center"/>
              <w:rPr>
                <w:rFonts w:ascii="Calibri" w:hAnsi="Calibri" w:cs="Calibri"/>
                <w:b/>
              </w:rPr>
            </w:pPr>
            <w:r w:rsidRPr="005D1BE1">
              <w:rPr>
                <w:rFonts w:ascii="Calibri" w:hAnsi="Calibri" w:cs="Calibri"/>
                <w:b/>
              </w:rPr>
              <w:t>HECHOS</w:t>
            </w:r>
          </w:p>
          <w:p w:rsidR="005F2AC8" w:rsidRPr="005D1BE1" w:rsidRDefault="005F2AC8" w:rsidP="007F1F09">
            <w:pPr>
              <w:jc w:val="center"/>
              <w:rPr>
                <w:rFonts w:ascii="Calibri" w:hAnsi="Calibri" w:cs="Calibri"/>
                <w:b/>
              </w:rPr>
            </w:pPr>
          </w:p>
          <w:p w:rsidR="005F2AC8" w:rsidRPr="005D1BE1" w:rsidRDefault="005F2AC8" w:rsidP="005F2AC8">
            <w:pPr>
              <w:jc w:val="both"/>
              <w:rPr>
                <w:rFonts w:ascii="Calibri" w:hAnsi="Calibri" w:cs="Calibri"/>
                <w:b/>
              </w:rPr>
            </w:pPr>
            <w:r w:rsidRPr="005D1BE1">
              <w:rPr>
                <w:rFonts w:ascii="Calibri" w:hAnsi="Calibri" w:cs="Calibri"/>
                <w:color w:val="000000"/>
                <w:bdr w:val="none" w:sz="0" w:space="0" w:color="auto" w:frame="1"/>
                <w:lang w:val="es-MX"/>
              </w:rPr>
              <w:t>Los demandantes señalan que los artículos 108 de la Ley 1450 de 2011 y 20 de la Ley 1753 de 2015, vulneran lo dispuesto</w:t>
            </w:r>
            <w:r w:rsidRPr="005D1BE1">
              <w:rPr>
                <w:rStyle w:val="apple-converted-space"/>
                <w:rFonts w:ascii="Calibri" w:hAnsi="Calibri" w:cs="Calibri"/>
                <w:color w:val="000000"/>
                <w:bdr w:val="none" w:sz="0" w:space="0" w:color="auto" w:frame="1"/>
                <w:lang w:val="es-MX"/>
              </w:rPr>
              <w:t> </w:t>
            </w:r>
            <w:r w:rsidRPr="005D1BE1">
              <w:rPr>
                <w:rFonts w:ascii="Calibri" w:hAnsi="Calibri" w:cs="Calibri"/>
                <w:color w:val="000000"/>
                <w:bdr w:val="none" w:sz="0" w:space="0" w:color="auto" w:frame="1"/>
                <w:lang w:val="uz-Cyrl-UZ"/>
              </w:rPr>
              <w:t>en</w:t>
            </w:r>
            <w:r w:rsidRPr="005D1BE1">
              <w:rPr>
                <w:rStyle w:val="apple-converted-space"/>
                <w:rFonts w:ascii="Calibri" w:hAnsi="Calibri" w:cs="Calibri"/>
                <w:color w:val="000000"/>
                <w:bdr w:val="none" w:sz="0" w:space="0" w:color="auto" w:frame="1"/>
                <w:lang w:val="uz-Cyrl-UZ"/>
              </w:rPr>
              <w:t> </w:t>
            </w:r>
            <w:r w:rsidRPr="005D1BE1">
              <w:rPr>
                <w:rFonts w:ascii="Calibri" w:hAnsi="Calibri" w:cs="Calibri"/>
                <w:color w:val="000000"/>
                <w:bdr w:val="none" w:sz="0" w:space="0" w:color="auto" w:frame="1"/>
              </w:rPr>
              <w:t>los artículos 8, 79, 64, 65, 66, 287 y 288 superiores.</w:t>
            </w:r>
          </w:p>
          <w:p w:rsidR="0016315B" w:rsidRPr="005D1BE1" w:rsidRDefault="0016315B" w:rsidP="007F1F09">
            <w:pPr>
              <w:jc w:val="center"/>
              <w:rPr>
                <w:rFonts w:ascii="Calibri" w:hAnsi="Calibri" w:cs="Calibri"/>
                <w:b/>
              </w:rPr>
            </w:pPr>
          </w:p>
          <w:p w:rsidR="0016315B" w:rsidRDefault="0016315B" w:rsidP="00032F06">
            <w:pPr>
              <w:jc w:val="both"/>
              <w:rPr>
                <w:rFonts w:ascii="Calibri" w:hAnsi="Calibri" w:cs="Calibri"/>
                <w:i/>
                <w:iCs/>
                <w:color w:val="2D2D2D"/>
                <w:bdr w:val="none" w:sz="0" w:space="0" w:color="auto" w:frame="1"/>
                <w:shd w:val="clear" w:color="auto" w:fill="FFFFFF"/>
              </w:rPr>
            </w:pPr>
            <w:r w:rsidRPr="005D1BE1">
              <w:rPr>
                <w:rFonts w:ascii="Calibri" w:hAnsi="Calibri" w:cs="Calibri"/>
                <w:color w:val="2D2D2D"/>
                <w:shd w:val="clear" w:color="auto" w:fill="FFFFFF"/>
              </w:rPr>
              <w:t>El demandante señala que la creación y ampliación de Áreas de Reserva Estratégica Minera (AEM)</w:t>
            </w:r>
            <w:r w:rsidRPr="005D1BE1">
              <w:rPr>
                <w:rStyle w:val="apple-converted-space"/>
                <w:rFonts w:ascii="Calibri" w:hAnsi="Calibri" w:cs="Calibri"/>
                <w:color w:val="2D2D2D"/>
                <w:shd w:val="clear" w:color="auto" w:fill="FFFFFF"/>
              </w:rPr>
              <w:t> </w:t>
            </w:r>
            <w:r w:rsidRPr="005D1BE1">
              <w:rPr>
                <w:rFonts w:ascii="Calibri" w:hAnsi="Calibri" w:cs="Calibri"/>
                <w:bCs/>
                <w:color w:val="2D2D2D"/>
                <w:bdr w:val="none" w:sz="0" w:space="0" w:color="auto" w:frame="1"/>
                <w:shd w:val="clear" w:color="auto" w:fill="FFFFFF"/>
              </w:rPr>
              <w:t>desconocen los mandatos constitucionales de</w:t>
            </w:r>
            <w:r w:rsidR="00032F06" w:rsidRPr="005D1BE1">
              <w:rPr>
                <w:rFonts w:ascii="Calibri" w:hAnsi="Calibri" w:cs="Calibri"/>
                <w:bCs/>
                <w:color w:val="2D2D2D"/>
                <w:bdr w:val="none" w:sz="0" w:space="0" w:color="auto" w:frame="1"/>
                <w:shd w:val="clear" w:color="auto" w:fill="FFFFFF"/>
              </w:rPr>
              <w:t xml:space="preserve"> protección de los trabajadores a</w:t>
            </w:r>
            <w:r w:rsidRPr="005D1BE1">
              <w:rPr>
                <w:rFonts w:ascii="Calibri" w:hAnsi="Calibri" w:cs="Calibri"/>
                <w:bCs/>
                <w:color w:val="2D2D2D"/>
                <w:bdr w:val="none" w:sz="0" w:space="0" w:color="auto" w:frame="1"/>
                <w:shd w:val="clear" w:color="auto" w:fill="FFFFFF"/>
              </w:rPr>
              <w:t xml:space="preserve">gropecuarios y de la producción agropecuaria, </w:t>
            </w:r>
            <w:r w:rsidRPr="005D1BE1">
              <w:rPr>
                <w:rFonts w:ascii="Calibri" w:hAnsi="Calibri" w:cs="Calibri"/>
                <w:bCs/>
                <w:color w:val="2D2D2D"/>
                <w:bdr w:val="none" w:sz="0" w:space="0" w:color="auto" w:frame="1"/>
                <w:shd w:val="clear" w:color="auto" w:fill="FFFFFF"/>
              </w:rPr>
              <w:lastRenderedPageBreak/>
              <w:t>de los cuales dependen los derechos a la alimentación, soberanía y seguridad alimentaria, consagrados en los artículos 64, 65 y 66 de la Constitución Política</w:t>
            </w:r>
            <w:r w:rsidRPr="005D1BE1">
              <w:rPr>
                <w:rFonts w:ascii="Calibri" w:hAnsi="Calibri" w:cs="Calibri"/>
                <w:color w:val="2D2D2D"/>
                <w:shd w:val="clear" w:color="auto" w:fill="FFFFFF"/>
              </w:rPr>
              <w:t>. En este sentido, manifiestan que la delimitación y reserva de áreas exclusivas para la minería implica una priorización absoluta de dicha actividad sobre otro tipo de principios y actividades también protegidos constitucionalmente, y de mayor importancia, como es el caso de las actividades agrícolas, la democratización del acceso a la tierra, y los derechos a la alimentación, seguridad y soberanía alimentaria, al destinar tierras</w:t>
            </w:r>
            <w:r w:rsidRPr="005D1BE1">
              <w:rPr>
                <w:rStyle w:val="apple-converted-space"/>
                <w:rFonts w:ascii="Calibri" w:hAnsi="Calibri" w:cs="Calibri"/>
                <w:color w:val="2D2D2D"/>
                <w:shd w:val="clear" w:color="auto" w:fill="FFFFFF"/>
              </w:rPr>
              <w:t> </w:t>
            </w:r>
            <w:r w:rsidRPr="005D1BE1">
              <w:rPr>
                <w:rFonts w:ascii="Calibri" w:hAnsi="Calibri" w:cs="Calibri"/>
                <w:i/>
                <w:iCs/>
                <w:color w:val="2D2D2D"/>
                <w:bdr w:val="none" w:sz="0" w:space="0" w:color="auto" w:frame="1"/>
                <w:shd w:val="clear" w:color="auto" w:fill="FFFFFF"/>
              </w:rPr>
              <w:t xml:space="preserve">“de manera exclusiva a la exploración y explotación minera mediante su entrega en concesión a agentes privados que </w:t>
            </w:r>
            <w:r w:rsidRPr="005D1BE1">
              <w:rPr>
                <w:rFonts w:ascii="Calibri" w:hAnsi="Calibri" w:cs="Calibri"/>
                <w:i/>
                <w:iCs/>
                <w:color w:val="2D2D2D"/>
                <w:bdr w:val="none" w:sz="0" w:space="0" w:color="auto" w:frame="1"/>
                <w:shd w:val="clear" w:color="auto" w:fill="FFFFFF"/>
              </w:rPr>
              <w:lastRenderedPageBreak/>
              <w:t>presenten la mejor oferta al Estado”.</w:t>
            </w:r>
          </w:p>
          <w:p w:rsidR="002D0BDB" w:rsidRDefault="002D0BDB" w:rsidP="00032F06">
            <w:pPr>
              <w:jc w:val="both"/>
              <w:rPr>
                <w:rFonts w:ascii="Calibri" w:hAnsi="Calibri" w:cs="Calibri"/>
                <w:i/>
                <w:iCs/>
                <w:color w:val="2D2D2D"/>
                <w:bdr w:val="none" w:sz="0" w:space="0" w:color="auto" w:frame="1"/>
                <w:shd w:val="clear" w:color="auto" w:fill="FFFFFF"/>
              </w:rPr>
            </w:pPr>
          </w:p>
          <w:p w:rsidR="002D0BDB" w:rsidRPr="002D0BDB" w:rsidRDefault="002D0BDB" w:rsidP="002D0BDB">
            <w:pPr>
              <w:shd w:val="clear" w:color="auto" w:fill="FFFFFF"/>
              <w:ind w:left="72"/>
              <w:jc w:val="both"/>
              <w:textAlignment w:val="baseline"/>
              <w:rPr>
                <w:rFonts w:ascii="Calibri" w:hAnsi="Calibri" w:cs="Calibri"/>
                <w:color w:val="2D2D2D"/>
                <w:shd w:val="clear" w:color="auto" w:fill="FFFFFF"/>
              </w:rPr>
            </w:pPr>
            <w:r w:rsidRPr="002D0BDB">
              <w:rPr>
                <w:rFonts w:ascii="Calibri" w:eastAsia="Times New Roman" w:hAnsi="Calibri" w:cs="Calibri"/>
                <w:bdr w:val="none" w:sz="0" w:space="0" w:color="auto" w:frame="1"/>
              </w:rPr>
              <w:t>A</w:t>
            </w:r>
            <w:r w:rsidRPr="002D0BDB">
              <w:rPr>
                <w:rFonts w:ascii="Calibri" w:hAnsi="Calibri" w:cs="Calibri"/>
                <w:color w:val="2D2D2D"/>
                <w:shd w:val="clear" w:color="auto" w:fill="FFFFFF"/>
              </w:rPr>
              <w:t>firman que la mayoría de personas que se encuentran en la línea de pobreza en el mundo se encuentra en zonas rurales, y que los proyectos mineros constituyen una amenaza para los campesinos.</w:t>
            </w:r>
          </w:p>
          <w:p w:rsidR="002D0BDB" w:rsidRPr="002D0BDB" w:rsidRDefault="002D0BDB" w:rsidP="002D0BDB">
            <w:pPr>
              <w:shd w:val="clear" w:color="auto" w:fill="FFFFFF"/>
              <w:ind w:left="72"/>
              <w:jc w:val="both"/>
              <w:textAlignment w:val="baseline"/>
              <w:rPr>
                <w:rFonts w:ascii="Calibri" w:hAnsi="Calibri" w:cs="Calibri"/>
              </w:rPr>
            </w:pPr>
          </w:p>
          <w:p w:rsidR="002D0BDB" w:rsidRPr="005D1BE1" w:rsidRDefault="002D0BDB" w:rsidP="005E0AD6">
            <w:pPr>
              <w:jc w:val="both"/>
              <w:rPr>
                <w:rFonts w:ascii="Calibri" w:hAnsi="Calibri" w:cs="Calibri"/>
              </w:rPr>
            </w:pPr>
            <w:r w:rsidRPr="002D0BDB">
              <w:rPr>
                <w:rFonts w:ascii="Calibri" w:hAnsi="Calibri" w:cs="Calibri"/>
                <w:color w:val="2D2D2D"/>
                <w:shd w:val="clear" w:color="auto" w:fill="FFFFFF"/>
              </w:rPr>
              <w:t>Indican que</w:t>
            </w:r>
            <w:r w:rsidRPr="002D0BDB">
              <w:rPr>
                <w:rStyle w:val="apple-converted-space"/>
                <w:rFonts w:ascii="Calibri" w:hAnsi="Calibri" w:cs="Calibri"/>
                <w:b/>
                <w:bCs/>
                <w:color w:val="2D2D2D"/>
                <w:bdr w:val="none" w:sz="0" w:space="0" w:color="auto" w:frame="1"/>
                <w:shd w:val="clear" w:color="auto" w:fill="FFFFFF"/>
              </w:rPr>
              <w:t> </w:t>
            </w:r>
            <w:r w:rsidRPr="002D0BDB">
              <w:rPr>
                <w:rFonts w:ascii="Calibri" w:hAnsi="Calibri" w:cs="Calibri"/>
                <w:bCs/>
                <w:color w:val="2D2D2D"/>
                <w:bdr w:val="none" w:sz="0" w:space="0" w:color="auto" w:frame="1"/>
                <w:shd w:val="clear" w:color="auto" w:fill="FFFFFF"/>
              </w:rPr>
              <w:t>la creación y ampliación de las áreas de reserva minera viola los principios de democracia representativa y participativa y el derecho políti</w:t>
            </w:r>
            <w:bookmarkStart w:id="0" w:name="_ftnref6"/>
            <w:r w:rsidRPr="002D0BDB">
              <w:rPr>
                <w:rFonts w:ascii="Calibri" w:hAnsi="Calibri" w:cs="Calibri"/>
                <w:bCs/>
                <w:color w:val="2D2D2D"/>
                <w:bdr w:val="none" w:sz="0" w:space="0" w:color="auto" w:frame="1"/>
                <w:shd w:val="clear" w:color="auto" w:fill="FFFFFF"/>
              </w:rPr>
              <w:t>co a una representación efectiv</w:t>
            </w:r>
            <w:bookmarkEnd w:id="0"/>
            <w:r w:rsidRPr="002D0BDB">
              <w:rPr>
                <w:rFonts w:ascii="Calibri" w:hAnsi="Calibri" w:cs="Calibri"/>
                <w:bCs/>
                <w:color w:val="2D2D2D"/>
                <w:bdr w:val="none" w:sz="0" w:space="0" w:color="auto" w:frame="1"/>
                <w:shd w:val="clear" w:color="auto" w:fill="FFFFFF"/>
              </w:rPr>
              <w:t>a</w:t>
            </w:r>
            <w:r w:rsidRPr="002D0BDB">
              <w:rPr>
                <w:rFonts w:ascii="Calibri" w:hAnsi="Calibri" w:cs="Calibri"/>
                <w:color w:val="2D2D2D"/>
                <w:shd w:val="clear" w:color="auto" w:fill="FFFFFF"/>
              </w:rPr>
              <w:t>. En este se</w:t>
            </w:r>
            <w:r w:rsidR="005E0AD6">
              <w:rPr>
                <w:rFonts w:ascii="Calibri" w:hAnsi="Calibri" w:cs="Calibri"/>
                <w:color w:val="2D2D2D"/>
                <w:shd w:val="clear" w:color="auto" w:fill="FFFFFF"/>
              </w:rPr>
              <w:t>ntido, mencionan que las normas a</w:t>
            </w:r>
            <w:r w:rsidRPr="002D0BDB">
              <w:rPr>
                <w:rFonts w:ascii="Calibri" w:hAnsi="Calibri" w:cs="Calibri"/>
                <w:color w:val="2D2D2D"/>
                <w:shd w:val="clear" w:color="auto" w:fill="FFFFFF"/>
              </w:rPr>
              <w:t>cusadas</w:t>
            </w:r>
            <w:r w:rsidRPr="002D0BDB">
              <w:rPr>
                <w:rStyle w:val="apple-converted-space"/>
                <w:rFonts w:ascii="Calibri" w:hAnsi="Calibri" w:cs="Calibri"/>
                <w:color w:val="2D2D2D"/>
                <w:shd w:val="clear" w:color="auto" w:fill="FFFFFF"/>
              </w:rPr>
              <w:t> </w:t>
            </w:r>
            <w:r w:rsidRPr="002D0BDB">
              <w:rPr>
                <w:rFonts w:ascii="Calibri" w:hAnsi="Calibri" w:cs="Calibri"/>
                <w:i/>
                <w:iCs/>
                <w:color w:val="2D2D2D"/>
                <w:bdr w:val="none" w:sz="0" w:space="0" w:color="auto" w:frame="1"/>
                <w:shd w:val="clear" w:color="auto" w:fill="FFFFFF"/>
              </w:rPr>
              <w:t>“impiden que los concejos municipales – y en consecuencia, los ciudadanos residente</w:t>
            </w:r>
            <w:r w:rsidRPr="002D0BDB">
              <w:rPr>
                <w:rStyle w:val="apple-converted-space"/>
                <w:rFonts w:ascii="Calibri" w:hAnsi="Calibri" w:cs="Calibri"/>
                <w:i/>
                <w:iCs/>
                <w:color w:val="2D2D2D"/>
                <w:bdr w:val="none" w:sz="0" w:space="0" w:color="auto" w:frame="1"/>
                <w:shd w:val="clear" w:color="auto" w:fill="FFFFFF"/>
              </w:rPr>
              <w:t> </w:t>
            </w:r>
            <w:r w:rsidRPr="002D0BDB">
              <w:rPr>
                <w:rFonts w:ascii="Calibri" w:hAnsi="Calibri" w:cs="Calibri"/>
                <w:color w:val="2D2D2D"/>
                <w:shd w:val="clear" w:color="auto" w:fill="FFFFFF"/>
              </w:rPr>
              <w:t>(sic)</w:t>
            </w:r>
            <w:r w:rsidRPr="002D0BDB">
              <w:rPr>
                <w:rStyle w:val="apple-converted-space"/>
                <w:rFonts w:ascii="Calibri" w:hAnsi="Calibri" w:cs="Calibri"/>
                <w:color w:val="2D2D2D"/>
                <w:shd w:val="clear" w:color="auto" w:fill="FFFFFF"/>
              </w:rPr>
              <w:t> </w:t>
            </w:r>
            <w:r w:rsidRPr="002D0BDB">
              <w:rPr>
                <w:rFonts w:ascii="Calibri" w:hAnsi="Calibri" w:cs="Calibri"/>
                <w:i/>
                <w:iCs/>
                <w:color w:val="2D2D2D"/>
                <w:bdr w:val="none" w:sz="0" w:space="0" w:color="auto" w:frame="1"/>
                <w:shd w:val="clear" w:color="auto" w:fill="FFFFFF"/>
              </w:rPr>
              <w:t xml:space="preserve">de cada municipio- tomen parte en la decisión misma sobre la viabilidad o no de la política minera en sus </w:t>
            </w:r>
            <w:r w:rsidRPr="002D0BDB">
              <w:rPr>
                <w:rFonts w:ascii="Calibri" w:hAnsi="Calibri" w:cs="Calibri"/>
                <w:i/>
                <w:iCs/>
                <w:color w:val="2D2D2D"/>
                <w:bdr w:val="none" w:sz="0" w:space="0" w:color="auto" w:frame="1"/>
                <w:shd w:val="clear" w:color="auto" w:fill="FFFFFF"/>
              </w:rPr>
              <w:lastRenderedPageBreak/>
              <w:t>territorios</w:t>
            </w:r>
            <w:r w:rsidR="005E0AD6">
              <w:rPr>
                <w:rFonts w:ascii="Calibri" w:hAnsi="Calibri" w:cs="Calibri"/>
                <w:i/>
                <w:iCs/>
                <w:color w:val="2D2D2D"/>
                <w:bdr w:val="none" w:sz="0" w:space="0" w:color="auto" w:frame="1"/>
                <w:shd w:val="clear" w:color="auto" w:fill="FFFFFF"/>
              </w:rPr>
              <w:t xml:space="preserve"> (…)”.</w:t>
            </w:r>
          </w:p>
        </w:tc>
        <w:tc>
          <w:tcPr>
            <w:tcW w:w="2835" w:type="dxa"/>
          </w:tcPr>
          <w:p w:rsidR="00A17D04" w:rsidRPr="005D1BE1" w:rsidRDefault="00BC5A7A" w:rsidP="00A17D04">
            <w:pPr>
              <w:rPr>
                <w:rFonts w:ascii="Calibri" w:hAnsi="Calibri" w:cs="Calibri"/>
                <w:b/>
                <w:bCs/>
              </w:rPr>
            </w:pPr>
            <w:r w:rsidRPr="005D1BE1">
              <w:rPr>
                <w:rFonts w:ascii="Calibri" w:hAnsi="Calibri" w:cs="Calibri"/>
                <w:b/>
                <w:bCs/>
              </w:rPr>
              <w:lastRenderedPageBreak/>
              <w:t xml:space="preserve">        RESPUESTA DE:</w:t>
            </w:r>
          </w:p>
          <w:p w:rsidR="005359A5" w:rsidRPr="005D1BE1" w:rsidRDefault="005359A5" w:rsidP="00A17D04">
            <w:pPr>
              <w:rPr>
                <w:rFonts w:ascii="Calibri" w:hAnsi="Calibri" w:cs="Calibri"/>
                <w:b/>
                <w:bCs/>
              </w:rPr>
            </w:pPr>
          </w:p>
          <w:p w:rsidR="00AF1267" w:rsidRPr="005D1BE1" w:rsidRDefault="00BC5A7A" w:rsidP="00D03F91">
            <w:pPr>
              <w:jc w:val="both"/>
              <w:rPr>
                <w:rFonts w:ascii="Calibri" w:hAnsi="Calibri" w:cs="Calibri"/>
                <w:b/>
                <w:snapToGrid w:val="0"/>
              </w:rPr>
            </w:pPr>
            <w:r w:rsidRPr="005D1BE1">
              <w:rPr>
                <w:rFonts w:ascii="Calibri" w:hAnsi="Calibri" w:cs="Calibri"/>
                <w:b/>
                <w:bCs/>
              </w:rPr>
              <w:t xml:space="preserve">  -</w:t>
            </w:r>
            <w:r w:rsidR="00A17D04" w:rsidRPr="005D1BE1">
              <w:rPr>
                <w:rFonts w:ascii="Calibri" w:hAnsi="Calibri" w:cs="Calibri"/>
                <w:b/>
                <w:snapToGrid w:val="0"/>
              </w:rPr>
              <w:t xml:space="preserve"> </w:t>
            </w:r>
            <w:r w:rsidR="00D03F91" w:rsidRPr="005D1BE1">
              <w:rPr>
                <w:rFonts w:ascii="Calibri" w:hAnsi="Calibri" w:cs="Calibri"/>
                <w:b/>
                <w:snapToGrid w:val="0"/>
              </w:rPr>
              <w:t>Procuraduría General de la Nación:</w:t>
            </w:r>
          </w:p>
          <w:p w:rsidR="00D03F91" w:rsidRPr="005D1BE1" w:rsidRDefault="00D03F91" w:rsidP="00D03F91">
            <w:pPr>
              <w:jc w:val="both"/>
              <w:rPr>
                <w:rFonts w:ascii="Calibri" w:hAnsi="Calibri" w:cs="Calibri"/>
                <w:snapToGrid w:val="0"/>
              </w:rPr>
            </w:pPr>
          </w:p>
          <w:p w:rsidR="00D03F91" w:rsidRPr="005D1BE1" w:rsidRDefault="00D03F91" w:rsidP="00D03F91">
            <w:pPr>
              <w:jc w:val="both"/>
              <w:rPr>
                <w:rFonts w:ascii="Calibri" w:hAnsi="Calibri" w:cs="Calibri"/>
                <w:snapToGrid w:val="0"/>
              </w:rPr>
            </w:pPr>
            <w:r w:rsidRPr="005D1BE1">
              <w:rPr>
                <w:rFonts w:ascii="Calibri" w:hAnsi="Calibri" w:cs="Calibri"/>
                <w:color w:val="2D2D2D"/>
                <w:shd w:val="clear" w:color="auto" w:fill="FFFFFF"/>
              </w:rPr>
              <w:t>Con respecto al argumento de vulneración de los principios de ambiente sano y desarrollo sostenible, el Procurador se pronuncia en favor de la</w:t>
            </w:r>
            <w:r w:rsidRPr="005D1BE1">
              <w:rPr>
                <w:rStyle w:val="apple-converted-space"/>
                <w:rFonts w:ascii="Calibri" w:hAnsi="Calibri" w:cs="Calibri"/>
                <w:color w:val="2D2D2D"/>
                <w:shd w:val="clear" w:color="auto" w:fill="FFFFFF"/>
              </w:rPr>
              <w:t> </w:t>
            </w:r>
            <w:r w:rsidRPr="005D1BE1">
              <w:rPr>
                <w:rFonts w:ascii="Calibri" w:hAnsi="Calibri" w:cs="Calibri"/>
                <w:b/>
                <w:bCs/>
                <w:color w:val="2D2D2D"/>
                <w:bdr w:val="none" w:sz="0" w:space="0" w:color="auto" w:frame="1"/>
                <w:shd w:val="clear" w:color="auto" w:fill="FFFFFF"/>
              </w:rPr>
              <w:t>exequibilidad</w:t>
            </w:r>
            <w:r w:rsidRPr="005D1BE1">
              <w:rPr>
                <w:rStyle w:val="apple-converted-space"/>
                <w:rFonts w:ascii="Calibri" w:hAnsi="Calibri" w:cs="Calibri"/>
                <w:color w:val="2D2D2D"/>
                <w:shd w:val="clear" w:color="auto" w:fill="FFFFFF"/>
              </w:rPr>
              <w:t> </w:t>
            </w:r>
            <w:r w:rsidRPr="005D1BE1">
              <w:rPr>
                <w:rFonts w:ascii="Calibri" w:hAnsi="Calibri" w:cs="Calibri"/>
                <w:color w:val="2D2D2D"/>
                <w:shd w:val="clear" w:color="auto" w:fill="FFFFFF"/>
              </w:rPr>
              <w:t>de las normas acusadas</w:t>
            </w:r>
            <w:r w:rsidRPr="005D1BE1">
              <w:rPr>
                <w:rStyle w:val="apple-converted-space"/>
                <w:rFonts w:ascii="Calibri" w:hAnsi="Calibri" w:cs="Calibri"/>
                <w:color w:val="2D2D2D"/>
                <w:shd w:val="clear" w:color="auto" w:fill="FFFFFF"/>
              </w:rPr>
              <w:t> </w:t>
            </w:r>
            <w:r w:rsidRPr="005D1BE1">
              <w:rPr>
                <w:rFonts w:ascii="Calibri" w:hAnsi="Calibri" w:cs="Calibri"/>
                <w:i/>
                <w:iCs/>
                <w:color w:val="2D2D2D"/>
                <w:bdr w:val="none" w:sz="0" w:space="0" w:color="auto" w:frame="1"/>
                <w:shd w:val="clear" w:color="auto" w:fill="FFFFFF"/>
              </w:rPr>
              <w:t>“bajo el entendido de que las áreas de reservas mineras estratégicas, así como las Áreas de Res</w:t>
            </w:r>
            <w:r w:rsidR="007B2EFB">
              <w:rPr>
                <w:rFonts w:ascii="Calibri" w:hAnsi="Calibri" w:cs="Calibri"/>
                <w:i/>
                <w:iCs/>
                <w:color w:val="2D2D2D"/>
                <w:bdr w:val="none" w:sz="0" w:space="0" w:color="auto" w:frame="1"/>
                <w:shd w:val="clear" w:color="auto" w:fill="FFFFFF"/>
              </w:rPr>
              <w:t xml:space="preserve">erva para el Desarrollo Minero </w:t>
            </w:r>
            <w:r w:rsidRPr="005D1BE1">
              <w:rPr>
                <w:rStyle w:val="apple-converted-space"/>
                <w:rFonts w:ascii="Calibri" w:hAnsi="Calibri" w:cs="Calibri"/>
                <w:i/>
                <w:iCs/>
                <w:color w:val="2D2D2D"/>
                <w:bdr w:val="none" w:sz="0" w:space="0" w:color="auto" w:frame="1"/>
                <w:shd w:val="clear" w:color="auto" w:fill="FFFFFF"/>
              </w:rPr>
              <w:t> </w:t>
            </w:r>
            <w:r w:rsidRPr="005D1BE1">
              <w:rPr>
                <w:rFonts w:ascii="Calibri" w:hAnsi="Calibri" w:cs="Calibri"/>
                <w:color w:val="2D2D2D"/>
                <w:shd w:val="clear" w:color="auto" w:fill="FFFFFF"/>
              </w:rPr>
              <w:t>(sic),</w:t>
            </w:r>
            <w:r w:rsidRPr="005D1BE1">
              <w:rPr>
                <w:rStyle w:val="apple-converted-space"/>
                <w:rFonts w:ascii="Calibri" w:hAnsi="Calibri" w:cs="Calibri"/>
                <w:color w:val="2D2D2D"/>
                <w:shd w:val="clear" w:color="auto" w:fill="FFFFFF"/>
              </w:rPr>
              <w:t> </w:t>
            </w:r>
            <w:r w:rsidRPr="005D1BE1">
              <w:rPr>
                <w:rFonts w:ascii="Calibri" w:hAnsi="Calibri" w:cs="Calibri"/>
                <w:i/>
                <w:iCs/>
                <w:color w:val="2D2D2D"/>
                <w:bdr w:val="none" w:sz="0" w:space="0" w:color="auto" w:frame="1"/>
                <w:shd w:val="clear" w:color="auto" w:fill="FFFFFF"/>
              </w:rPr>
              <w:t xml:space="preserve">en todo caso, no pueden coincidir con aquellos territorios delimitados como páramos, humedales, áreas que integran el sistema de </w:t>
            </w:r>
            <w:r w:rsidRPr="005D1BE1">
              <w:rPr>
                <w:rFonts w:ascii="Calibri" w:hAnsi="Calibri" w:cs="Calibri"/>
                <w:i/>
                <w:iCs/>
                <w:color w:val="2D2D2D"/>
                <w:bdr w:val="none" w:sz="0" w:space="0" w:color="auto" w:frame="1"/>
                <w:shd w:val="clear" w:color="auto" w:fill="FFFFFF"/>
              </w:rPr>
              <w:lastRenderedPageBreak/>
              <w:t>parques naturales o regionales, zonas de reserva forestal, y, en general, con áreas declaradas o que se declaren en el futuro por la autoridad ambiental como zonas excluidas de la minería”.</w:t>
            </w:r>
            <w:r w:rsidRPr="005D1BE1">
              <w:rPr>
                <w:rStyle w:val="apple-converted-space"/>
                <w:rFonts w:ascii="Calibri" w:hAnsi="Calibri" w:cs="Calibri"/>
                <w:i/>
                <w:iCs/>
                <w:color w:val="2D2D2D"/>
                <w:bdr w:val="none" w:sz="0" w:space="0" w:color="auto" w:frame="1"/>
                <w:shd w:val="clear" w:color="auto" w:fill="FFFFFF"/>
              </w:rPr>
              <w:t> </w:t>
            </w:r>
            <w:r w:rsidRPr="005D1BE1">
              <w:rPr>
                <w:rFonts w:ascii="Calibri" w:hAnsi="Calibri" w:cs="Calibri"/>
                <w:color w:val="2D2D2D"/>
                <w:shd w:val="clear" w:color="auto" w:fill="FFFFFF"/>
              </w:rPr>
              <w:t>Así, resaltó el deber de protección al ambiente a cargo del Estado, y señaló que las disposiciones acusadas no vulneran los mencionados principios constitucionales, siempre y cuando no coincidan con los territorios protegidos por la ley, y las ya declaradas, o declaradas en el futuro, como zonas excluidas de minería.</w:t>
            </w:r>
          </w:p>
          <w:p w:rsidR="00AF1267" w:rsidRPr="005D1BE1" w:rsidRDefault="00AF1267" w:rsidP="00D03F91">
            <w:pPr>
              <w:jc w:val="both"/>
              <w:rPr>
                <w:rFonts w:ascii="Calibri" w:hAnsi="Calibri" w:cs="Calibri"/>
                <w:b/>
                <w:bCs/>
              </w:rPr>
            </w:pPr>
          </w:p>
          <w:p w:rsidR="00894A71" w:rsidRPr="00170997" w:rsidRDefault="00170997" w:rsidP="00894A71">
            <w:pPr>
              <w:pStyle w:val="NormalWeb"/>
              <w:shd w:val="clear" w:color="auto" w:fill="FFFFFF"/>
              <w:spacing w:before="0" w:beforeAutospacing="0" w:after="0" w:afterAutospacing="0"/>
              <w:jc w:val="both"/>
              <w:textAlignment w:val="baseline"/>
              <w:rPr>
                <w:rFonts w:ascii="Calibri" w:eastAsia="Arial Unicode MS" w:hAnsi="Calibri" w:cs="Calibri"/>
                <w:color w:val="2D2D2D"/>
                <w:sz w:val="22"/>
                <w:szCs w:val="22"/>
              </w:rPr>
            </w:pPr>
            <w:r>
              <w:rPr>
                <w:rFonts w:ascii="Calibri" w:eastAsia="Arial Unicode MS" w:hAnsi="Calibri" w:cs="Calibri"/>
                <w:b/>
                <w:bCs/>
                <w:iCs/>
                <w:color w:val="2D2D2D"/>
                <w:sz w:val="22"/>
                <w:szCs w:val="22"/>
                <w:bdr w:val="none" w:sz="0" w:space="0" w:color="auto" w:frame="1"/>
                <w:lang w:val="es-ES_tradnl"/>
              </w:rPr>
              <w:t xml:space="preserve">  - </w:t>
            </w:r>
            <w:r w:rsidR="00894A71" w:rsidRPr="00170997">
              <w:rPr>
                <w:rFonts w:ascii="Calibri" w:eastAsia="Arial Unicode MS" w:hAnsi="Calibri" w:cs="Calibri"/>
                <w:b/>
                <w:bCs/>
                <w:iCs/>
                <w:color w:val="2D2D2D"/>
                <w:sz w:val="22"/>
                <w:szCs w:val="22"/>
                <w:bdr w:val="none" w:sz="0" w:space="0" w:color="auto" w:frame="1"/>
                <w:lang w:val="es-ES_tradnl"/>
              </w:rPr>
              <w:t>Intervención del Ministerio de Ambiente y Desarrollo Sostenible</w:t>
            </w:r>
          </w:p>
          <w:p w:rsidR="00894A71" w:rsidRPr="005D1BE1" w:rsidRDefault="00894A71" w:rsidP="00894A71">
            <w:pPr>
              <w:pStyle w:val="NormalWeb"/>
              <w:shd w:val="clear" w:color="auto" w:fill="FFFFFF"/>
              <w:spacing w:before="0" w:beforeAutospacing="0" w:after="0" w:afterAutospacing="0"/>
              <w:jc w:val="both"/>
              <w:textAlignment w:val="baseline"/>
              <w:rPr>
                <w:rFonts w:ascii="Calibri" w:eastAsia="Arial Unicode MS" w:hAnsi="Calibri" w:cs="Calibri"/>
                <w:color w:val="2D2D2D"/>
                <w:sz w:val="22"/>
                <w:szCs w:val="22"/>
              </w:rPr>
            </w:pPr>
            <w:r w:rsidRPr="005D1BE1">
              <w:rPr>
                <w:rFonts w:ascii="Calibri" w:eastAsia="Arial Unicode MS" w:hAnsi="Calibri" w:cs="Calibri"/>
                <w:b/>
                <w:bCs/>
                <w:i/>
                <w:iCs/>
                <w:color w:val="2D2D2D"/>
                <w:sz w:val="22"/>
                <w:szCs w:val="22"/>
                <w:bdr w:val="none" w:sz="0" w:space="0" w:color="auto" w:frame="1"/>
                <w:lang w:val="es-ES_tradnl"/>
              </w:rPr>
              <w:t> </w:t>
            </w:r>
          </w:p>
          <w:p w:rsidR="00894A71" w:rsidRPr="005D1BE1" w:rsidRDefault="00894A71" w:rsidP="00894A71">
            <w:pPr>
              <w:pStyle w:val="NormalWeb"/>
              <w:shd w:val="clear" w:color="auto" w:fill="FFFFFF"/>
              <w:spacing w:before="0" w:beforeAutospacing="0" w:after="0" w:afterAutospacing="0"/>
              <w:jc w:val="both"/>
              <w:textAlignment w:val="baseline"/>
              <w:rPr>
                <w:rFonts w:ascii="Calibri" w:eastAsia="Arial Unicode MS" w:hAnsi="Calibri" w:cs="Calibri"/>
                <w:color w:val="2D2D2D"/>
                <w:sz w:val="22"/>
                <w:szCs w:val="22"/>
                <w:bdr w:val="none" w:sz="0" w:space="0" w:color="auto" w:frame="1"/>
                <w:lang w:val="es-ES_tradnl"/>
              </w:rPr>
            </w:pPr>
            <w:r w:rsidRPr="005D1BE1">
              <w:rPr>
                <w:rFonts w:ascii="Calibri" w:eastAsia="Arial Unicode MS" w:hAnsi="Calibri" w:cs="Calibri"/>
                <w:color w:val="2D2D2D"/>
                <w:sz w:val="22"/>
                <w:szCs w:val="22"/>
                <w:bdr w:val="none" w:sz="0" w:space="0" w:color="auto" w:frame="1"/>
                <w:lang w:val="es-ES_tradnl"/>
              </w:rPr>
              <w:t>El Ministerio de Ambiente interviene a favor de la</w:t>
            </w:r>
            <w:r w:rsidRPr="005D1BE1">
              <w:rPr>
                <w:rStyle w:val="apple-converted-space"/>
                <w:rFonts w:ascii="Calibri" w:eastAsia="Arial Unicode MS" w:hAnsi="Calibri" w:cs="Calibri"/>
                <w:color w:val="2D2D2D"/>
                <w:sz w:val="22"/>
                <w:szCs w:val="22"/>
                <w:bdr w:val="none" w:sz="0" w:space="0" w:color="auto" w:frame="1"/>
                <w:lang w:val="es-ES_tradnl"/>
              </w:rPr>
              <w:t> </w:t>
            </w:r>
            <w:r w:rsidRPr="005D1BE1">
              <w:rPr>
                <w:rFonts w:ascii="Calibri" w:eastAsia="Arial Unicode MS" w:hAnsi="Calibri" w:cs="Calibri"/>
                <w:bCs/>
                <w:color w:val="2D2D2D"/>
                <w:sz w:val="22"/>
                <w:szCs w:val="22"/>
                <w:bdr w:val="none" w:sz="0" w:space="0" w:color="auto" w:frame="1"/>
                <w:lang w:val="es-ES_tradnl"/>
              </w:rPr>
              <w:t>exequibilidad de la disposición acusada</w:t>
            </w:r>
            <w:r w:rsidRPr="005D1BE1">
              <w:rPr>
                <w:rFonts w:ascii="Calibri" w:eastAsia="Arial Unicode MS" w:hAnsi="Calibri" w:cs="Calibri"/>
                <w:color w:val="2D2D2D"/>
                <w:sz w:val="22"/>
                <w:szCs w:val="22"/>
                <w:bdr w:val="none" w:sz="0" w:space="0" w:color="auto" w:frame="1"/>
                <w:lang w:val="es-ES_tradnl"/>
              </w:rPr>
              <w:t xml:space="preserve">. En primer lugar, señala que la figura de las Áreas Estratégicas Mineras ofrece </w:t>
            </w:r>
            <w:r w:rsidRPr="005D1BE1">
              <w:rPr>
                <w:rFonts w:ascii="Calibri" w:eastAsia="Arial Unicode MS" w:hAnsi="Calibri" w:cs="Calibri"/>
                <w:color w:val="2D2D2D"/>
                <w:sz w:val="22"/>
                <w:szCs w:val="22"/>
                <w:bdr w:val="none" w:sz="0" w:space="0" w:color="auto" w:frame="1"/>
                <w:lang w:val="es-ES_tradnl"/>
              </w:rPr>
              <w:lastRenderedPageBreak/>
              <w:t>seguridad jurídica y claridad sobre los lugares con potencial minero en el país, y sobre los cuales es permitido el desarrollo de esta actividad, atendiendo a la obligación estatal de preservar los recursos naturales renovables.</w:t>
            </w:r>
          </w:p>
          <w:p w:rsidR="005F2AC8" w:rsidRPr="005D1BE1" w:rsidRDefault="005F2AC8" w:rsidP="00894A71">
            <w:pPr>
              <w:pStyle w:val="NormalWeb"/>
              <w:shd w:val="clear" w:color="auto" w:fill="FFFFFF"/>
              <w:spacing w:before="0" w:beforeAutospacing="0" w:after="0" w:afterAutospacing="0"/>
              <w:jc w:val="both"/>
              <w:textAlignment w:val="baseline"/>
              <w:rPr>
                <w:rFonts w:ascii="Calibri" w:eastAsia="Arial Unicode MS" w:hAnsi="Calibri" w:cs="Calibri"/>
                <w:color w:val="2D2D2D"/>
                <w:sz w:val="22"/>
                <w:szCs w:val="22"/>
                <w:bdr w:val="none" w:sz="0" w:space="0" w:color="auto" w:frame="1"/>
                <w:lang w:val="es-ES_tradnl"/>
              </w:rPr>
            </w:pPr>
          </w:p>
          <w:p w:rsidR="005F2AC8" w:rsidRPr="005D1BE1" w:rsidRDefault="005F2AC8" w:rsidP="00894A71">
            <w:pPr>
              <w:pStyle w:val="NormalWeb"/>
              <w:shd w:val="clear" w:color="auto" w:fill="FFFFFF"/>
              <w:spacing w:before="0" w:beforeAutospacing="0" w:after="0" w:afterAutospacing="0"/>
              <w:jc w:val="both"/>
              <w:textAlignment w:val="baseline"/>
              <w:rPr>
                <w:rFonts w:ascii="Calibri" w:eastAsia="Arial Unicode MS" w:hAnsi="Calibri" w:cs="Calibri"/>
                <w:color w:val="2D2D2D"/>
                <w:sz w:val="22"/>
                <w:szCs w:val="22"/>
              </w:rPr>
            </w:pPr>
          </w:p>
          <w:p w:rsidR="00BC5A7A" w:rsidRPr="005D1BE1" w:rsidRDefault="00BC5A7A" w:rsidP="00BC5A7A">
            <w:pPr>
              <w:rPr>
                <w:rFonts w:ascii="Calibri" w:hAnsi="Calibri" w:cs="Calibri"/>
                <w:b/>
                <w:bCs/>
              </w:rPr>
            </w:pPr>
          </w:p>
        </w:tc>
        <w:tc>
          <w:tcPr>
            <w:tcW w:w="2835" w:type="dxa"/>
          </w:tcPr>
          <w:p w:rsidR="00A9362E" w:rsidRPr="005D1BE1" w:rsidRDefault="00A9362E" w:rsidP="00FD15A2">
            <w:pPr>
              <w:jc w:val="center"/>
              <w:rPr>
                <w:rFonts w:ascii="Calibri" w:hAnsi="Calibri" w:cs="Calibri"/>
                <w:b/>
              </w:rPr>
            </w:pPr>
            <w:bookmarkStart w:id="1" w:name="_GoBack"/>
            <w:bookmarkEnd w:id="1"/>
          </w:p>
        </w:tc>
        <w:tc>
          <w:tcPr>
            <w:tcW w:w="2551" w:type="dxa"/>
          </w:tcPr>
          <w:p w:rsidR="00A9362E" w:rsidRPr="005D1BE1" w:rsidRDefault="005845EB" w:rsidP="007F1F09">
            <w:pPr>
              <w:jc w:val="center"/>
              <w:rPr>
                <w:rFonts w:ascii="Calibri" w:hAnsi="Calibri" w:cs="Calibri"/>
                <w:b/>
                <w:bCs/>
              </w:rPr>
            </w:pPr>
            <w:r w:rsidRPr="005D1BE1">
              <w:rPr>
                <w:rFonts w:ascii="Calibri" w:hAnsi="Calibri" w:cs="Calibri"/>
                <w:b/>
                <w:bCs/>
              </w:rPr>
              <w:t>CONSIDERACIONES DE LA CORTE CONSTITUCIONAL</w:t>
            </w:r>
          </w:p>
          <w:p w:rsidR="00E10687" w:rsidRPr="005D1BE1" w:rsidRDefault="00E10687" w:rsidP="00032F06">
            <w:pPr>
              <w:jc w:val="both"/>
              <w:rPr>
                <w:rFonts w:ascii="Calibri" w:hAnsi="Calibri" w:cs="Calibri"/>
                <w:b/>
                <w:sz w:val="18"/>
              </w:rPr>
            </w:pPr>
          </w:p>
          <w:p w:rsidR="00D632F4" w:rsidRPr="005D1BE1" w:rsidRDefault="00D632F4" w:rsidP="00032F06">
            <w:pPr>
              <w:jc w:val="both"/>
              <w:rPr>
                <w:rFonts w:ascii="Calibri" w:hAnsi="Calibri" w:cs="Calibri"/>
                <w:color w:val="000000"/>
                <w:szCs w:val="28"/>
                <w:shd w:val="clear" w:color="auto" w:fill="FFFFFF"/>
              </w:rPr>
            </w:pPr>
            <w:r w:rsidRPr="005D1BE1">
              <w:rPr>
                <w:rFonts w:ascii="Calibri" w:hAnsi="Calibri" w:cs="Calibri"/>
                <w:color w:val="000000"/>
                <w:szCs w:val="28"/>
                <w:shd w:val="clear" w:color="auto" w:fill="FFFFFF"/>
              </w:rPr>
              <w:t xml:space="preserve">El sacrificio a los bienes jurídicamente protegidos, como la calidad, continuidad y accesibilidad del agua, y los demás servicios ambientales que prestan los páramos resultan desproporcionados frente a los eventuales beneficios provenientes de la extracción de recursos no renovables. Tratándose de un ecosistema tan vulnerable, frágil y poco adaptable como el de los páramos, su afectación tiende a ser de más largo </w:t>
            </w:r>
            <w:r w:rsidRPr="005D1BE1">
              <w:rPr>
                <w:rFonts w:ascii="Calibri" w:hAnsi="Calibri" w:cs="Calibri"/>
                <w:color w:val="000000"/>
                <w:szCs w:val="28"/>
                <w:shd w:val="clear" w:color="auto" w:fill="FFFFFF"/>
              </w:rPr>
              <w:lastRenderedPageBreak/>
              <w:t>plazo, cuando no permanente.</w:t>
            </w:r>
          </w:p>
          <w:p w:rsidR="00D632F4" w:rsidRPr="005D1BE1" w:rsidRDefault="00D632F4" w:rsidP="00032F06">
            <w:pPr>
              <w:jc w:val="both"/>
              <w:rPr>
                <w:rFonts w:ascii="Calibri" w:hAnsi="Calibri" w:cs="Calibri"/>
                <w:b/>
              </w:rPr>
            </w:pPr>
          </w:p>
          <w:p w:rsidR="00E5046C" w:rsidRPr="005D1BE1" w:rsidRDefault="00E5046C" w:rsidP="00E5046C">
            <w:pPr>
              <w:jc w:val="both"/>
              <w:rPr>
                <w:rFonts w:ascii="Calibri" w:hAnsi="Calibri" w:cs="Calibri"/>
              </w:rPr>
            </w:pPr>
            <w:r w:rsidRPr="005D1BE1">
              <w:rPr>
                <w:rFonts w:ascii="Calibri" w:hAnsi="Calibri" w:cs="Calibri"/>
              </w:rPr>
              <w:t xml:space="preserve">La Sala estima necesario establecer un mecanismo para garantizar la protección de los ecosistemas de páramo. Este mecanismo debe preservar también la autonomía del Ministerio de Ambiente para apartarse de las áreas de referencia del IAvH. Sin embargo, esta decisión no puede obedecer al arbitrio del funcionario que lleva a cabo esta función, como quiera que, como todas las autoridades administrativas, las decisiones discrecionales no pueden confundirse con las decisiones arbitrarias, de tal forma que todas aquellas determinaciones que preservan márgenes amplios de valoración administrativa, de todas maneras deben soportarse o apoyarse en </w:t>
            </w:r>
            <w:r w:rsidRPr="005D1BE1">
              <w:rPr>
                <w:rFonts w:ascii="Calibri" w:hAnsi="Calibri" w:cs="Calibri"/>
              </w:rPr>
              <w:lastRenderedPageBreak/>
              <w:t>criterios razonables y proporcionados explícitamente señalados.</w:t>
            </w:r>
          </w:p>
          <w:p w:rsidR="00E5046C" w:rsidRPr="005D1BE1" w:rsidRDefault="00E5046C" w:rsidP="00E5046C">
            <w:pPr>
              <w:jc w:val="both"/>
              <w:rPr>
                <w:rFonts w:ascii="Calibri" w:hAnsi="Calibri" w:cs="Calibri"/>
              </w:rPr>
            </w:pPr>
            <w:r w:rsidRPr="005D1BE1">
              <w:rPr>
                <w:rFonts w:ascii="Calibri" w:hAnsi="Calibri" w:cs="Calibri"/>
              </w:rPr>
              <w:t xml:space="preserve"> </w:t>
            </w:r>
          </w:p>
          <w:p w:rsidR="009A460E" w:rsidRPr="005D1BE1" w:rsidRDefault="00E5046C" w:rsidP="00E5046C">
            <w:pPr>
              <w:jc w:val="both"/>
              <w:rPr>
                <w:rFonts w:ascii="Calibri" w:hAnsi="Calibri" w:cs="Calibri"/>
                <w:b/>
              </w:rPr>
            </w:pPr>
            <w:r w:rsidRPr="005D1BE1">
              <w:rPr>
                <w:rFonts w:ascii="Calibri" w:hAnsi="Calibri" w:cs="Calibri"/>
              </w:rPr>
              <w:t xml:space="preserve">Así las cosas, la Sala concluye que el Ministerio de Ambiente debe motivar su decisión de apartarse de las áreas de referencia respectivas con los criterios autorizados en la ley para definir las áreas y, en todo caso, con aspectos técnicos ambientales. Ahora bien, con todo, como se sostuvo anteriormente, existen múltiples posturas científicas en torno a los criterios para la identificación y delimitación de los páramos, y ello representa una dificultad de orden práctico. Sin embargo, sin negar la importancia que representa dicha dificultad para la comunidad científica, desde el punto de vista </w:t>
            </w:r>
            <w:r w:rsidRPr="005D1BE1">
              <w:rPr>
                <w:rFonts w:ascii="Calibri" w:hAnsi="Calibri" w:cs="Calibri"/>
              </w:rPr>
              <w:lastRenderedPageBreak/>
              <w:t>constitucional, el Ministerio de Ambiente debe preferir siempre el criterio de delimitación que provea el mayor grado de protección del ecosistema de páramo, puesto que de ello depende la eficacia de un derecho fundamental, y en particular, las garantías de calidad, continuidad y acceso al agua.</w:t>
            </w:r>
          </w:p>
        </w:tc>
        <w:tc>
          <w:tcPr>
            <w:tcW w:w="2977" w:type="dxa"/>
            <w:gridSpan w:val="2"/>
          </w:tcPr>
          <w:p w:rsidR="00A9362E" w:rsidRPr="005D1BE1" w:rsidRDefault="00EA5606" w:rsidP="007F1F09">
            <w:pPr>
              <w:jc w:val="center"/>
              <w:rPr>
                <w:rFonts w:ascii="Calibri" w:hAnsi="Calibri" w:cs="Calibri"/>
                <w:b/>
              </w:rPr>
            </w:pPr>
            <w:r w:rsidRPr="005D1BE1">
              <w:rPr>
                <w:rFonts w:ascii="Calibri" w:hAnsi="Calibri" w:cs="Calibri"/>
                <w:b/>
              </w:rPr>
              <w:lastRenderedPageBreak/>
              <w:t>FALL</w:t>
            </w:r>
            <w:r w:rsidR="001C37F4" w:rsidRPr="005D1BE1">
              <w:rPr>
                <w:rFonts w:ascii="Calibri" w:hAnsi="Calibri" w:cs="Calibri"/>
                <w:b/>
              </w:rPr>
              <w:t>O</w:t>
            </w:r>
          </w:p>
          <w:p w:rsidR="009A460E" w:rsidRPr="005D1BE1" w:rsidRDefault="009A460E" w:rsidP="007F1F09">
            <w:pPr>
              <w:jc w:val="center"/>
              <w:rPr>
                <w:rFonts w:ascii="Calibri" w:hAnsi="Calibri" w:cs="Calibri"/>
                <w:b/>
              </w:rPr>
            </w:pPr>
          </w:p>
          <w:p w:rsidR="00E15181" w:rsidRPr="005D1BE1" w:rsidRDefault="00E15181" w:rsidP="00E15181">
            <w:pPr>
              <w:jc w:val="both"/>
              <w:rPr>
                <w:rFonts w:ascii="Calibri" w:hAnsi="Calibri" w:cs="Calibri"/>
              </w:rPr>
            </w:pPr>
            <w:r w:rsidRPr="005D1BE1">
              <w:rPr>
                <w:rFonts w:ascii="Calibri" w:hAnsi="Calibri" w:cs="Calibri"/>
              </w:rPr>
              <w:t>Analizado el caso y en mérito de lo expuesto la HONORABLE CORTE CONSTITUCIONAL resolvió:</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b/>
                <w:bCs/>
                <w:color w:val="000000"/>
                <w:bdr w:val="none" w:sz="0" w:space="0" w:color="auto" w:frame="1"/>
                <w:lang w:val="es-ES_tradnl"/>
              </w:rPr>
              <w:br/>
              <w:t>Primero.-</w:t>
            </w:r>
            <w:r w:rsidRPr="005D1BE1">
              <w:rPr>
                <w:rFonts w:ascii="Calibri" w:eastAsia="Times New Roman" w:hAnsi="Calibri" w:cs="Calibri"/>
                <w:color w:val="000000"/>
                <w:bdr w:val="none" w:sz="0" w:space="0" w:color="auto" w:frame="1"/>
                <w:lang w:val="es-ES_tradnl"/>
              </w:rPr>
              <w:t> </w:t>
            </w:r>
            <w:r w:rsidRPr="009A460E">
              <w:rPr>
                <w:rFonts w:ascii="Calibri" w:eastAsia="Times New Roman" w:hAnsi="Calibri" w:cs="Calibri"/>
                <w:color w:val="000000"/>
                <w:bdr w:val="none" w:sz="0" w:space="0" w:color="auto" w:frame="1"/>
                <w:lang w:val="es-ES_tradnl"/>
              </w:rPr>
              <w:t>Por los cargos analizados en la presente Sentencia, declarar</w:t>
            </w:r>
            <w:r w:rsidRPr="005D1BE1">
              <w:rPr>
                <w:rFonts w:ascii="Calibri" w:eastAsia="Times New Roman" w:hAnsi="Calibri" w:cs="Calibri"/>
                <w:color w:val="000000"/>
                <w:bdr w:val="none" w:sz="0" w:space="0" w:color="auto" w:frame="1"/>
                <w:lang w:val="es-ES_tradnl"/>
              </w:rPr>
              <w:t> </w:t>
            </w:r>
            <w:r w:rsidRPr="009A460E">
              <w:rPr>
                <w:rFonts w:ascii="Calibri" w:eastAsia="Times New Roman" w:hAnsi="Calibri" w:cs="Calibri"/>
                <w:b/>
                <w:bCs/>
                <w:color w:val="000000"/>
                <w:bdr w:val="none" w:sz="0" w:space="0" w:color="auto" w:frame="1"/>
                <w:lang w:val="es-ES_tradnl"/>
              </w:rPr>
              <w:t>EXEQUIBLE</w:t>
            </w:r>
            <w:r w:rsidRPr="005D1BE1">
              <w:rPr>
                <w:rFonts w:ascii="Calibri" w:eastAsia="Times New Roman" w:hAnsi="Calibri" w:cs="Calibri"/>
                <w:color w:val="000000"/>
                <w:bdr w:val="none" w:sz="0" w:space="0" w:color="auto" w:frame="1"/>
                <w:lang w:val="es-ES_tradnl"/>
              </w:rPr>
              <w:t> </w:t>
            </w:r>
            <w:r w:rsidRPr="009A460E">
              <w:rPr>
                <w:rFonts w:ascii="Calibri" w:eastAsia="Times New Roman" w:hAnsi="Calibri" w:cs="Calibri"/>
                <w:color w:val="000000"/>
                <w:bdr w:val="none" w:sz="0" w:space="0" w:color="auto" w:frame="1"/>
                <w:lang w:val="es-ES_tradnl"/>
              </w:rPr>
              <w:t>el artículo </w:t>
            </w:r>
            <w:r w:rsidRPr="009A460E">
              <w:rPr>
                <w:rFonts w:ascii="Calibri" w:eastAsia="Times New Roman" w:hAnsi="Calibri" w:cs="Calibri"/>
                <w:color w:val="000000"/>
                <w:bdr w:val="none" w:sz="0" w:space="0" w:color="auto" w:frame="1"/>
              </w:rPr>
              <w:t xml:space="preserve">108 de la Ley 1450 de 2011, en el entendido de que i) en relación con las áreas de reserva minera definidas con anterioridad a la notificación de la presente sentencia, la autoridad competente deberá concertar con las autoridades locales de los municipios donde están ubicadas, con anterioridad al inicio del proceso de selección objetiva de las áreas de concesión minera, y ii)  en cualquier caso, la Autoridad Nacional Minera y el Ministerio de  Minas y Energía </w:t>
            </w:r>
            <w:r w:rsidRPr="009A460E">
              <w:rPr>
                <w:rFonts w:ascii="Calibri" w:eastAsia="Times New Roman" w:hAnsi="Calibri" w:cs="Calibri"/>
                <w:color w:val="000000"/>
                <w:bdr w:val="none" w:sz="0" w:space="0" w:color="auto" w:frame="1"/>
              </w:rPr>
              <w:lastRenderedPageBreak/>
              <w:t>deberán garantizar que la definición y oferta de dichas áreas sean compatibles con los planes de ordenamiento territorial</w:t>
            </w:r>
            <w:r w:rsidRPr="005D1BE1">
              <w:rPr>
                <w:rFonts w:ascii="Calibri" w:eastAsia="Times New Roman" w:hAnsi="Calibri" w:cs="Calibri"/>
                <w:color w:val="000000"/>
                <w:bdr w:val="none" w:sz="0" w:space="0" w:color="auto" w:frame="1"/>
              </w:rPr>
              <w:t> </w:t>
            </w:r>
            <w:r w:rsidRPr="009A460E">
              <w:rPr>
                <w:rFonts w:ascii="Calibri" w:eastAsia="Times New Roman" w:hAnsi="Calibri" w:cs="Calibri"/>
                <w:bdr w:val="none" w:sz="0" w:space="0" w:color="auto" w:frame="1"/>
                <w:lang w:val="es-ES_tradnl"/>
              </w:rPr>
              <w:t>respectivos.</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b/>
                <w:bCs/>
                <w:color w:val="000000"/>
                <w:bdr w:val="none" w:sz="0" w:space="0" w:color="auto" w:frame="1"/>
              </w:rPr>
              <w:t> </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b/>
                <w:bCs/>
                <w:bdr w:val="none" w:sz="0" w:space="0" w:color="auto" w:frame="1"/>
                <w:lang w:val="es-ES_tradnl"/>
              </w:rPr>
              <w:t>Segundo.-</w:t>
            </w:r>
            <w:r w:rsidRPr="005D1BE1">
              <w:rPr>
                <w:rFonts w:ascii="Calibri" w:eastAsia="Times New Roman" w:hAnsi="Calibri" w:cs="Calibri"/>
                <w:b/>
                <w:bCs/>
                <w:bdr w:val="none" w:sz="0" w:space="0" w:color="auto" w:frame="1"/>
                <w:lang w:val="es-ES_tradnl"/>
              </w:rPr>
              <w:t> </w:t>
            </w:r>
            <w:r w:rsidRPr="009A460E">
              <w:rPr>
                <w:rFonts w:ascii="Calibri" w:eastAsia="Times New Roman" w:hAnsi="Calibri" w:cs="Calibri"/>
                <w:color w:val="000000"/>
                <w:bdr w:val="none" w:sz="0" w:space="0" w:color="auto" w:frame="1"/>
              </w:rPr>
              <w:t>Por los cargos analizados en la presente Sentencia, declarar</w:t>
            </w:r>
            <w:r w:rsidRPr="009A460E">
              <w:rPr>
                <w:rFonts w:ascii="Calibri" w:eastAsia="Times New Roman" w:hAnsi="Calibri" w:cs="Calibri"/>
                <w:b/>
                <w:bCs/>
                <w:color w:val="000000"/>
                <w:bdr w:val="none" w:sz="0" w:space="0" w:color="auto" w:frame="1"/>
              </w:rPr>
              <w:t> EXEQUIBLE</w:t>
            </w:r>
            <w:r w:rsidRPr="005D1BE1">
              <w:rPr>
                <w:rFonts w:ascii="Calibri" w:eastAsia="Times New Roman" w:hAnsi="Calibri" w:cs="Calibri"/>
                <w:color w:val="000000"/>
                <w:bdr w:val="none" w:sz="0" w:space="0" w:color="auto" w:frame="1"/>
              </w:rPr>
              <w:t> </w:t>
            </w:r>
            <w:r w:rsidRPr="009A460E">
              <w:rPr>
                <w:rFonts w:ascii="Calibri" w:eastAsia="Times New Roman" w:hAnsi="Calibri" w:cs="Calibri"/>
                <w:color w:val="000000"/>
                <w:bdr w:val="none" w:sz="0" w:space="0" w:color="auto" w:frame="1"/>
              </w:rPr>
              <w:t>el artículo 20 de la Ley 1753 de 2015, en el entendido de</w:t>
            </w:r>
            <w:r w:rsidRPr="005D1BE1">
              <w:rPr>
                <w:rFonts w:ascii="Calibri" w:eastAsia="Times New Roman" w:hAnsi="Calibri" w:cs="Calibri"/>
                <w:color w:val="000000"/>
                <w:bdr w:val="none" w:sz="0" w:space="0" w:color="auto" w:frame="1"/>
              </w:rPr>
              <w:t> </w:t>
            </w:r>
            <w:r w:rsidRPr="009A460E">
              <w:rPr>
                <w:rFonts w:ascii="Calibri" w:eastAsia="Times New Roman" w:hAnsi="Calibri" w:cs="Calibri"/>
                <w:bdr w:val="none" w:sz="0" w:space="0" w:color="auto" w:frame="1"/>
                <w:shd w:val="clear" w:color="auto" w:fill="FFFFFF"/>
                <w:lang w:val="es-ES_tradnl"/>
              </w:rPr>
              <w:t>que: i) la autoridad competente para definir las áreas de reserva minera deberá concertar previamente con las autoridades locales de los municipios donde van a estar ubicadas, para garantizar</w:t>
            </w:r>
            <w:r w:rsidRPr="005D1BE1">
              <w:rPr>
                <w:rFonts w:ascii="Calibri" w:eastAsia="Times New Roman" w:hAnsi="Calibri" w:cs="Calibri"/>
                <w:bdr w:val="none" w:sz="0" w:space="0" w:color="auto" w:frame="1"/>
                <w:shd w:val="clear" w:color="auto" w:fill="FFFFFF"/>
                <w:lang w:val="es-ES_tradnl"/>
              </w:rPr>
              <w:t> </w:t>
            </w:r>
            <w:r w:rsidRPr="009A460E">
              <w:rPr>
                <w:rFonts w:ascii="Calibri" w:eastAsia="Times New Roman" w:hAnsi="Calibri" w:cs="Calibri"/>
                <w:bdr w:val="none" w:sz="0" w:space="0" w:color="auto" w:frame="1"/>
                <w:lang w:val="es-ES_tradnl"/>
              </w:rPr>
              <w:t xml:space="preserve">que no se afecte su facultad constitucional para reglamentar los usos del suelo, conforme a los principios de coordinación, concurrencia y subsidiariedad, ii) si la autoridad competente definió las áreas de reserva minera con anterioridad a la notificación de la presente sentencia, deberá concertar con las autoridades locales de los municipios donde se encuentran ubicadas, con anterioridad al inicio del proceso de selección objetiva de las áreas de concesión minera y iii) la Autoridad Nacional Minera y el Ministerio de </w:t>
            </w:r>
            <w:r w:rsidRPr="009A460E">
              <w:rPr>
                <w:rFonts w:ascii="Calibri" w:eastAsia="Times New Roman" w:hAnsi="Calibri" w:cs="Calibri"/>
                <w:bdr w:val="none" w:sz="0" w:space="0" w:color="auto" w:frame="1"/>
                <w:lang w:val="es-ES_tradnl"/>
              </w:rPr>
              <w:lastRenderedPageBreak/>
              <w:t>Minas y Energía, según el caso, deberán garantizar que la definición y oferta de dichas áreas sean compatibles con los respectivos planes de ordenamiento territorial.</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b/>
                <w:bCs/>
                <w:color w:val="000000"/>
                <w:bdr w:val="none" w:sz="0" w:space="0" w:color="auto" w:frame="1"/>
                <w:lang w:val="es-ES_tradnl"/>
              </w:rPr>
              <w:t> </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b/>
                <w:bCs/>
                <w:bdr w:val="none" w:sz="0" w:space="0" w:color="auto" w:frame="1"/>
                <w:lang w:val="es-ES_tradnl"/>
              </w:rPr>
              <w:t>Tercero.-</w:t>
            </w:r>
            <w:r w:rsidRPr="005D1BE1">
              <w:rPr>
                <w:rFonts w:ascii="Calibri" w:eastAsia="Times New Roman" w:hAnsi="Calibri" w:cs="Calibri"/>
                <w:b/>
                <w:bCs/>
                <w:bdr w:val="none" w:sz="0" w:space="0" w:color="auto" w:frame="1"/>
                <w:lang w:val="es-ES_tradnl"/>
              </w:rPr>
              <w:t> </w:t>
            </w:r>
            <w:r w:rsidRPr="009A460E">
              <w:rPr>
                <w:rFonts w:ascii="Calibri" w:eastAsia="Times New Roman" w:hAnsi="Calibri" w:cs="Calibri"/>
                <w:bdr w:val="none" w:sz="0" w:space="0" w:color="auto" w:frame="1"/>
                <w:lang w:val="es-ES_tradnl"/>
              </w:rPr>
              <w:t>Declarar</w:t>
            </w:r>
            <w:r w:rsidRPr="005D1BE1">
              <w:rPr>
                <w:rFonts w:ascii="Calibri" w:eastAsia="Times New Roman" w:hAnsi="Calibri" w:cs="Calibri"/>
                <w:bdr w:val="none" w:sz="0" w:space="0" w:color="auto" w:frame="1"/>
                <w:lang w:val="es-ES_tradnl"/>
              </w:rPr>
              <w:t> </w:t>
            </w:r>
            <w:r w:rsidRPr="009A460E">
              <w:rPr>
                <w:rFonts w:ascii="Calibri" w:eastAsia="Times New Roman" w:hAnsi="Calibri" w:cs="Calibri"/>
                <w:b/>
                <w:bCs/>
                <w:bdr w:val="none" w:sz="0" w:space="0" w:color="auto" w:frame="1"/>
                <w:lang w:val="es-ES_tradnl"/>
              </w:rPr>
              <w:t>EXEQUIBLES</w:t>
            </w:r>
            <w:r w:rsidRPr="005D1BE1">
              <w:rPr>
                <w:rFonts w:ascii="Calibri" w:eastAsia="Times New Roman" w:hAnsi="Calibri" w:cs="Calibri"/>
                <w:bdr w:val="none" w:sz="0" w:space="0" w:color="auto" w:frame="1"/>
                <w:lang w:val="es-ES_tradnl"/>
              </w:rPr>
              <w:t> </w:t>
            </w:r>
            <w:r w:rsidRPr="009A460E">
              <w:rPr>
                <w:rFonts w:ascii="Calibri" w:eastAsia="Times New Roman" w:hAnsi="Calibri" w:cs="Calibri"/>
                <w:bdr w:val="none" w:sz="0" w:space="0" w:color="auto" w:frame="1"/>
                <w:lang w:val="es-ES_tradnl"/>
              </w:rPr>
              <w:t>los incisos primero, segundo y quinto del artículo 49 de la Ley 1753 de 2015, por los cargos analizados en esta sentencia;</w:t>
            </w:r>
            <w:r w:rsidRPr="005D1BE1">
              <w:rPr>
                <w:rFonts w:ascii="Calibri" w:eastAsia="Times New Roman" w:hAnsi="Calibri" w:cs="Calibri"/>
                <w:bdr w:val="none" w:sz="0" w:space="0" w:color="auto" w:frame="1"/>
                <w:lang w:val="es-ES_tradnl"/>
              </w:rPr>
              <w:t> </w:t>
            </w:r>
            <w:r w:rsidRPr="009A460E">
              <w:rPr>
                <w:rFonts w:ascii="Calibri" w:eastAsia="Times New Roman" w:hAnsi="Calibri" w:cs="Calibri"/>
                <w:b/>
                <w:bCs/>
                <w:color w:val="000000"/>
                <w:bdr w:val="none" w:sz="0" w:space="0" w:color="auto" w:frame="1"/>
                <w:lang w:val="es-ES_tradnl"/>
              </w:rPr>
              <w:t>INEXEQUIBLE</w:t>
            </w:r>
            <w:r w:rsidRPr="005D1BE1">
              <w:rPr>
                <w:rFonts w:ascii="Calibri" w:eastAsia="Times New Roman" w:hAnsi="Calibri" w:cs="Calibri"/>
                <w:bdr w:val="none" w:sz="0" w:space="0" w:color="auto" w:frame="1"/>
                <w:lang w:val="es-ES_tradnl"/>
              </w:rPr>
              <w:t> </w:t>
            </w:r>
            <w:r w:rsidRPr="009A460E">
              <w:rPr>
                <w:rFonts w:ascii="Calibri" w:eastAsia="Times New Roman" w:hAnsi="Calibri" w:cs="Calibri"/>
                <w:color w:val="000000"/>
                <w:bdr w:val="none" w:sz="0" w:space="0" w:color="auto" w:frame="1"/>
                <w:lang w:val="es-ES_tradnl"/>
              </w:rPr>
              <w:t>el inciso tercero</w:t>
            </w:r>
            <w:r w:rsidRPr="005D1BE1">
              <w:rPr>
                <w:rFonts w:ascii="Calibri" w:eastAsia="Times New Roman" w:hAnsi="Calibri" w:cs="Calibri"/>
                <w:color w:val="000000"/>
                <w:bdr w:val="none" w:sz="0" w:space="0" w:color="auto" w:frame="1"/>
                <w:lang w:val="es-ES_tradnl"/>
              </w:rPr>
              <w:t> </w:t>
            </w:r>
            <w:r w:rsidRPr="009A460E">
              <w:rPr>
                <w:rFonts w:ascii="Calibri" w:eastAsia="Times New Roman" w:hAnsi="Calibri" w:cs="Calibri"/>
                <w:bdr w:val="none" w:sz="0" w:space="0" w:color="auto" w:frame="1"/>
                <w:lang w:val="es-ES_tradnl"/>
              </w:rPr>
              <w:t>del artículo 49 de la Ley 1753 de 2015</w:t>
            </w:r>
            <w:r w:rsidRPr="009A460E">
              <w:rPr>
                <w:rFonts w:ascii="Calibri" w:eastAsia="Times New Roman" w:hAnsi="Calibri" w:cs="Calibri"/>
                <w:color w:val="000000"/>
                <w:bdr w:val="none" w:sz="0" w:space="0" w:color="auto" w:frame="1"/>
                <w:lang w:val="es-ES_tradnl"/>
              </w:rPr>
              <w:t>, e</w:t>
            </w:r>
            <w:r w:rsidRPr="005D1BE1">
              <w:rPr>
                <w:rFonts w:ascii="Calibri" w:eastAsia="Times New Roman" w:hAnsi="Calibri" w:cs="Calibri"/>
                <w:color w:val="000000"/>
                <w:bdr w:val="none" w:sz="0" w:space="0" w:color="auto" w:frame="1"/>
                <w:lang w:val="es-ES_tradnl"/>
              </w:rPr>
              <w:t> </w:t>
            </w:r>
            <w:r w:rsidRPr="009A460E">
              <w:rPr>
                <w:rFonts w:ascii="Calibri" w:eastAsia="Times New Roman" w:hAnsi="Calibri" w:cs="Calibri"/>
                <w:b/>
                <w:bCs/>
                <w:color w:val="000000"/>
                <w:bdr w:val="none" w:sz="0" w:space="0" w:color="auto" w:frame="1"/>
                <w:lang w:val="es-ES_tradnl"/>
              </w:rPr>
              <w:t>INHIBIRSE</w:t>
            </w:r>
            <w:r w:rsidRPr="005D1BE1">
              <w:rPr>
                <w:rFonts w:ascii="Calibri" w:eastAsia="Times New Roman" w:hAnsi="Calibri" w:cs="Calibri"/>
                <w:color w:val="000000"/>
                <w:bdr w:val="none" w:sz="0" w:space="0" w:color="auto" w:frame="1"/>
                <w:lang w:val="es-ES_tradnl"/>
              </w:rPr>
              <w:t> </w:t>
            </w:r>
            <w:r w:rsidRPr="009A460E">
              <w:rPr>
                <w:rFonts w:ascii="Calibri" w:eastAsia="Times New Roman" w:hAnsi="Calibri" w:cs="Calibri"/>
                <w:color w:val="000000"/>
                <w:bdr w:val="none" w:sz="0" w:space="0" w:color="auto" w:frame="1"/>
                <w:lang w:val="es-ES_tradnl"/>
              </w:rPr>
              <w:t>de emitir un pronunciamiento de fondo en relación con el inciso cuarto de ese mismo artículo, por ineptitud de los cargos respecto de esa disposición.</w:t>
            </w:r>
          </w:p>
          <w:p w:rsidR="00E41EBA" w:rsidRPr="005D1BE1" w:rsidRDefault="00E41EBA" w:rsidP="00E41EBA">
            <w:pPr>
              <w:shd w:val="clear" w:color="auto" w:fill="FFFFFF"/>
              <w:ind w:right="150"/>
              <w:jc w:val="both"/>
              <w:textAlignment w:val="baseline"/>
              <w:rPr>
                <w:rFonts w:ascii="Calibri" w:eastAsia="Arial Unicode MS" w:hAnsi="Calibri" w:cs="Calibri"/>
                <w:color w:val="2D2D2D"/>
                <w:bdr w:val="none" w:sz="0" w:space="0" w:color="auto" w:frame="1"/>
                <w:lang w:val="es-ES_tradnl"/>
              </w:rPr>
            </w:pPr>
          </w:p>
          <w:p w:rsidR="009A460E" w:rsidRPr="009A460E" w:rsidRDefault="009A460E" w:rsidP="00E41EBA">
            <w:pPr>
              <w:shd w:val="clear" w:color="auto" w:fill="FFFFFF"/>
              <w:ind w:right="150"/>
              <w:jc w:val="both"/>
              <w:textAlignment w:val="baseline"/>
              <w:rPr>
                <w:rFonts w:ascii="Calibri" w:eastAsia="Arial Unicode MS" w:hAnsi="Calibri" w:cs="Calibri"/>
                <w:color w:val="2D2D2D"/>
              </w:rPr>
            </w:pPr>
            <w:r w:rsidRPr="009A460E">
              <w:rPr>
                <w:rFonts w:ascii="Calibri" w:eastAsia="Arial Unicode MS" w:hAnsi="Calibri" w:cs="Calibri"/>
                <w:b/>
                <w:bCs/>
                <w:color w:val="2D2D2D"/>
                <w:bdr w:val="none" w:sz="0" w:space="0" w:color="auto" w:frame="1"/>
                <w:lang w:val="es-ES_tradnl"/>
              </w:rPr>
              <w:t>Cuarto.-</w:t>
            </w:r>
            <w:r w:rsidRPr="005D1BE1">
              <w:rPr>
                <w:rFonts w:ascii="Calibri" w:eastAsia="Arial Unicode MS" w:hAnsi="Calibri" w:cs="Calibri"/>
                <w:b/>
                <w:bCs/>
                <w:color w:val="2D2D2D"/>
                <w:bdr w:val="none" w:sz="0" w:space="0" w:color="auto" w:frame="1"/>
                <w:lang w:val="es-ES_tradnl"/>
              </w:rPr>
              <w:t> </w:t>
            </w:r>
            <w:r w:rsidRPr="009A460E">
              <w:rPr>
                <w:rFonts w:ascii="Calibri" w:eastAsia="Arial Unicode MS" w:hAnsi="Calibri" w:cs="Calibri"/>
                <w:color w:val="2D2D2D"/>
                <w:bdr w:val="none" w:sz="0" w:space="0" w:color="auto" w:frame="1"/>
                <w:lang w:val="es-ES_tradnl"/>
              </w:rPr>
              <w:t>Declarar</w:t>
            </w:r>
            <w:r w:rsidRPr="005D1BE1">
              <w:rPr>
                <w:rFonts w:ascii="Calibri" w:eastAsia="Arial Unicode MS" w:hAnsi="Calibri" w:cs="Calibri"/>
                <w:color w:val="2D2D2D"/>
                <w:bdr w:val="none" w:sz="0" w:space="0" w:color="auto" w:frame="1"/>
                <w:lang w:val="es-ES_tradnl"/>
              </w:rPr>
              <w:t> </w:t>
            </w:r>
            <w:r w:rsidRPr="009A460E">
              <w:rPr>
                <w:rFonts w:ascii="Calibri" w:eastAsia="Arial Unicode MS" w:hAnsi="Calibri" w:cs="Calibri"/>
                <w:b/>
                <w:bCs/>
                <w:color w:val="2D2D2D"/>
                <w:bdr w:val="none" w:sz="0" w:space="0" w:color="auto" w:frame="1"/>
                <w:lang w:val="es-ES_tradnl"/>
              </w:rPr>
              <w:t>INEXEQUIBLES</w:t>
            </w:r>
            <w:r w:rsidRPr="005D1BE1">
              <w:rPr>
                <w:rFonts w:ascii="Calibri" w:eastAsia="Arial Unicode MS" w:hAnsi="Calibri" w:cs="Calibri"/>
                <w:color w:val="2D2D2D"/>
                <w:bdr w:val="none" w:sz="0" w:space="0" w:color="auto" w:frame="1"/>
                <w:lang w:val="es-ES_tradnl"/>
              </w:rPr>
              <w:t> </w:t>
            </w:r>
            <w:r w:rsidRPr="009A460E">
              <w:rPr>
                <w:rFonts w:ascii="Calibri" w:eastAsia="Arial Unicode MS" w:hAnsi="Calibri" w:cs="Calibri"/>
                <w:color w:val="2D2D2D"/>
                <w:bdr w:val="none" w:sz="0" w:space="0" w:color="auto" w:frame="1"/>
                <w:lang w:val="es-ES_tradnl"/>
              </w:rPr>
              <w:t>el inciso 2º  y el parágrafo del</w:t>
            </w:r>
            <w:r w:rsidRPr="005D1BE1">
              <w:rPr>
                <w:rFonts w:ascii="Calibri" w:eastAsia="Arial Unicode MS" w:hAnsi="Calibri" w:cs="Calibri"/>
                <w:color w:val="2D2D2D"/>
                <w:bdr w:val="none" w:sz="0" w:space="0" w:color="auto" w:frame="1"/>
                <w:lang w:val="es-ES_tradnl"/>
              </w:rPr>
              <w:t> </w:t>
            </w:r>
            <w:r w:rsidRPr="009A460E">
              <w:rPr>
                <w:rFonts w:ascii="Calibri" w:eastAsia="Arial Unicode MS" w:hAnsi="Calibri" w:cs="Calibri"/>
                <w:color w:val="2D2D2D"/>
                <w:bdr w:val="none" w:sz="0" w:space="0" w:color="auto" w:frame="1"/>
                <w:lang w:val="es-ES_tradnl"/>
              </w:rPr>
              <w:t>artículo 50 de la Ley 1753 de 2015.</w:t>
            </w:r>
          </w:p>
          <w:p w:rsidR="009A460E" w:rsidRPr="009A460E" w:rsidRDefault="009A460E" w:rsidP="009A460E">
            <w:pPr>
              <w:shd w:val="clear" w:color="auto" w:fill="FFFFFF"/>
              <w:ind w:left="150" w:right="150"/>
              <w:jc w:val="both"/>
              <w:textAlignment w:val="baseline"/>
              <w:rPr>
                <w:rFonts w:ascii="Calibri" w:eastAsia="Arial Unicode MS" w:hAnsi="Calibri" w:cs="Calibri"/>
                <w:color w:val="2D2D2D"/>
              </w:rPr>
            </w:pPr>
            <w:r w:rsidRPr="009A460E">
              <w:rPr>
                <w:rFonts w:ascii="Calibri" w:eastAsia="Arial Unicode MS" w:hAnsi="Calibri" w:cs="Calibri"/>
                <w:color w:val="2D2D2D"/>
                <w:bdr w:val="none" w:sz="0" w:space="0" w:color="auto" w:frame="1"/>
                <w:lang w:val="es-ES_tradnl"/>
              </w:rPr>
              <w:t> </w:t>
            </w:r>
          </w:p>
          <w:p w:rsidR="009A460E" w:rsidRPr="009A460E" w:rsidRDefault="009A460E" w:rsidP="00E41EBA">
            <w:pPr>
              <w:shd w:val="clear" w:color="auto" w:fill="FFFFFF"/>
              <w:ind w:right="150"/>
              <w:jc w:val="both"/>
              <w:textAlignment w:val="baseline"/>
              <w:rPr>
                <w:rFonts w:ascii="Calibri" w:eastAsia="Arial Unicode MS" w:hAnsi="Calibri" w:cs="Calibri"/>
                <w:color w:val="2D2D2D"/>
              </w:rPr>
            </w:pPr>
            <w:r w:rsidRPr="009A460E">
              <w:rPr>
                <w:rFonts w:ascii="Calibri" w:eastAsia="Arial Unicode MS" w:hAnsi="Calibri" w:cs="Calibri"/>
                <w:b/>
                <w:bCs/>
                <w:color w:val="2D2D2D"/>
                <w:bdr w:val="none" w:sz="0" w:space="0" w:color="auto" w:frame="1"/>
                <w:lang w:val="es-ES_tradnl"/>
              </w:rPr>
              <w:t>Quinto.-</w:t>
            </w:r>
            <w:r w:rsidRPr="009A460E">
              <w:rPr>
                <w:rFonts w:ascii="Calibri" w:eastAsia="Arial Unicode MS" w:hAnsi="Calibri" w:cs="Calibri"/>
                <w:color w:val="2D2D2D"/>
                <w:bdr w:val="none" w:sz="0" w:space="0" w:color="auto" w:frame="1"/>
                <w:lang w:val="es-ES_tradnl"/>
              </w:rPr>
              <w:t>Declarar</w:t>
            </w:r>
            <w:r w:rsidRPr="005D1BE1">
              <w:rPr>
                <w:rFonts w:ascii="Calibri" w:eastAsia="Arial Unicode MS" w:hAnsi="Calibri" w:cs="Calibri"/>
                <w:color w:val="2D2D2D"/>
                <w:bdr w:val="none" w:sz="0" w:space="0" w:color="auto" w:frame="1"/>
                <w:lang w:val="es-ES_tradnl"/>
              </w:rPr>
              <w:t> </w:t>
            </w:r>
            <w:r w:rsidRPr="009A460E">
              <w:rPr>
                <w:rFonts w:ascii="Calibri" w:eastAsia="Arial Unicode MS" w:hAnsi="Calibri" w:cs="Calibri"/>
                <w:b/>
                <w:bCs/>
                <w:color w:val="2D2D2D"/>
                <w:bdr w:val="none" w:sz="0" w:space="0" w:color="auto" w:frame="1"/>
                <w:lang w:val="es-ES_tradnl"/>
              </w:rPr>
              <w:t>INEXEQUIBLE</w:t>
            </w:r>
            <w:r w:rsidRPr="005D1BE1">
              <w:rPr>
                <w:rFonts w:ascii="Calibri" w:eastAsia="Arial Unicode MS" w:hAnsi="Calibri" w:cs="Calibri"/>
                <w:color w:val="2D2D2D"/>
                <w:bdr w:val="none" w:sz="0" w:space="0" w:color="auto" w:frame="1"/>
                <w:lang w:val="es-ES_tradnl"/>
              </w:rPr>
              <w:t> </w:t>
            </w:r>
            <w:r w:rsidRPr="009A460E">
              <w:rPr>
                <w:rFonts w:ascii="Calibri" w:eastAsia="Arial Unicode MS" w:hAnsi="Calibri" w:cs="Calibri"/>
                <w:color w:val="2D2D2D"/>
                <w:bdr w:val="none" w:sz="0" w:space="0" w:color="auto" w:frame="1"/>
                <w:lang w:val="es-ES_tradnl"/>
              </w:rPr>
              <w:t>el</w:t>
            </w:r>
            <w:r w:rsidRPr="005D1BE1">
              <w:rPr>
                <w:rFonts w:ascii="Calibri" w:eastAsia="Arial Unicode MS" w:hAnsi="Calibri" w:cs="Calibri"/>
                <w:color w:val="2D2D2D"/>
                <w:bdr w:val="none" w:sz="0" w:space="0" w:color="auto" w:frame="1"/>
                <w:lang w:val="es-ES_tradnl"/>
              </w:rPr>
              <w:t> </w:t>
            </w:r>
            <w:r w:rsidRPr="009A460E">
              <w:rPr>
                <w:rFonts w:ascii="Calibri" w:eastAsia="Arial Unicode MS" w:hAnsi="Calibri" w:cs="Calibri"/>
                <w:color w:val="2D2D2D"/>
                <w:bdr w:val="none" w:sz="0" w:space="0" w:color="auto" w:frame="1"/>
                <w:lang w:val="es-ES_tradnl"/>
              </w:rPr>
              <w:t>artículo 51 de la Ley 1753 de 2015.</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bdr w:val="none" w:sz="0" w:space="0" w:color="auto" w:frame="1"/>
                <w:lang w:val="es-ES_tradnl"/>
              </w:rPr>
              <w:t> </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b/>
                <w:bCs/>
                <w:color w:val="000000"/>
                <w:bdr w:val="none" w:sz="0" w:space="0" w:color="auto" w:frame="1"/>
                <w:lang w:val="es-ES_tradnl"/>
              </w:rPr>
              <w:lastRenderedPageBreak/>
              <w:t>Sexto.-</w:t>
            </w:r>
            <w:r w:rsidRPr="005D1BE1">
              <w:rPr>
                <w:rFonts w:ascii="Calibri" w:eastAsia="Times New Roman" w:hAnsi="Calibri" w:cs="Calibri"/>
                <w:b/>
                <w:bCs/>
                <w:color w:val="000000"/>
                <w:bdr w:val="none" w:sz="0" w:space="0" w:color="auto" w:frame="1"/>
                <w:lang w:val="es-ES_tradnl"/>
              </w:rPr>
              <w:t> </w:t>
            </w:r>
            <w:r w:rsidRPr="009A460E">
              <w:rPr>
                <w:rFonts w:ascii="Calibri" w:eastAsia="Times New Roman" w:hAnsi="Calibri" w:cs="Calibri"/>
                <w:bdr w:val="none" w:sz="0" w:space="0" w:color="auto" w:frame="1"/>
                <w:lang w:val="es-ES_tradnl"/>
              </w:rPr>
              <w:t>Declarar</w:t>
            </w:r>
            <w:r w:rsidRPr="005D1BE1">
              <w:rPr>
                <w:rFonts w:ascii="Calibri" w:eastAsia="Times New Roman" w:hAnsi="Calibri" w:cs="Calibri"/>
                <w:bdr w:val="none" w:sz="0" w:space="0" w:color="auto" w:frame="1"/>
                <w:lang w:val="es-ES_tradnl"/>
              </w:rPr>
              <w:t> </w:t>
            </w:r>
            <w:r w:rsidRPr="009A460E">
              <w:rPr>
                <w:rFonts w:ascii="Calibri" w:eastAsia="Times New Roman" w:hAnsi="Calibri" w:cs="Calibri"/>
                <w:b/>
                <w:bCs/>
                <w:bdr w:val="none" w:sz="0" w:space="0" w:color="auto" w:frame="1"/>
                <w:lang w:val="es-ES_tradnl"/>
              </w:rPr>
              <w:t>EXEQUIBLE</w:t>
            </w:r>
            <w:r w:rsidRPr="005D1BE1">
              <w:rPr>
                <w:rFonts w:ascii="Calibri" w:eastAsia="Times New Roman" w:hAnsi="Calibri" w:cs="Calibri"/>
                <w:bdr w:val="none" w:sz="0" w:space="0" w:color="auto" w:frame="1"/>
                <w:lang w:val="es-ES_tradnl"/>
              </w:rPr>
              <w:t> </w:t>
            </w:r>
            <w:r w:rsidRPr="009A460E">
              <w:rPr>
                <w:rFonts w:ascii="Calibri" w:eastAsia="Times New Roman" w:hAnsi="Calibri" w:cs="Calibri"/>
                <w:bdr w:val="none" w:sz="0" w:space="0" w:color="auto" w:frame="1"/>
                <w:lang w:val="es-ES_tradnl"/>
              </w:rPr>
              <w:t>la expresión “</w:t>
            </w:r>
            <w:r w:rsidRPr="009A460E">
              <w:rPr>
                <w:rFonts w:ascii="Calibri" w:eastAsia="Times New Roman" w:hAnsi="Calibri" w:cs="Calibri"/>
                <w:i/>
                <w:iCs/>
                <w:bdr w:val="none" w:sz="0" w:space="0" w:color="auto" w:frame="1"/>
                <w:lang w:val="es-ES_tradnl"/>
              </w:rPr>
              <w:t>que hayan sido calificados de interés nacional y estratégico por la Comisión Intersectorial de Infraestructura y Proyectos Estratégicos (CIIPE)</w:t>
            </w:r>
            <w:r w:rsidRPr="009A460E">
              <w:rPr>
                <w:rFonts w:ascii="Calibri" w:eastAsia="Times New Roman" w:hAnsi="Calibri" w:cs="Calibri"/>
                <w:bdr w:val="none" w:sz="0" w:space="0" w:color="auto" w:frame="1"/>
                <w:lang w:val="es-ES_tradnl"/>
              </w:rPr>
              <w:t>”, contenida en el artículo 52 de la Ley 1753 de 2015, por los cargos analizados en esta sentencia.</w:t>
            </w:r>
          </w:p>
          <w:p w:rsidR="009A460E" w:rsidRPr="009A460E" w:rsidRDefault="009A460E" w:rsidP="009A460E">
            <w:pPr>
              <w:shd w:val="clear" w:color="auto" w:fill="FFFFFF"/>
              <w:jc w:val="both"/>
              <w:textAlignment w:val="baseline"/>
              <w:rPr>
                <w:rFonts w:ascii="Calibri" w:eastAsia="Times New Roman" w:hAnsi="Calibri" w:cs="Calibri"/>
              </w:rPr>
            </w:pPr>
            <w:r w:rsidRPr="005D1BE1">
              <w:rPr>
                <w:rFonts w:ascii="Calibri" w:eastAsia="Times New Roman" w:hAnsi="Calibri" w:cs="Calibri"/>
                <w:b/>
                <w:bCs/>
                <w:color w:val="000000"/>
                <w:bdr w:val="none" w:sz="0" w:space="0" w:color="auto" w:frame="1"/>
                <w:lang w:val="es-ES_tradnl"/>
              </w:rPr>
              <w:t> </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b/>
                <w:bCs/>
                <w:color w:val="000000"/>
                <w:bdr w:val="none" w:sz="0" w:space="0" w:color="auto" w:frame="1"/>
                <w:lang w:val="es-ES_tradnl"/>
              </w:rPr>
              <w:t>Séptimo.-</w:t>
            </w:r>
            <w:r w:rsidRPr="005D1BE1">
              <w:rPr>
                <w:rFonts w:ascii="Calibri" w:eastAsia="Times New Roman" w:hAnsi="Calibri" w:cs="Calibri"/>
                <w:b/>
                <w:bCs/>
                <w:color w:val="000000"/>
                <w:bdr w:val="none" w:sz="0" w:space="0" w:color="auto" w:frame="1"/>
                <w:lang w:val="es-ES_tradnl"/>
              </w:rPr>
              <w:t> </w:t>
            </w:r>
            <w:r w:rsidRPr="009A460E">
              <w:rPr>
                <w:rFonts w:ascii="Calibri" w:eastAsia="Times New Roman" w:hAnsi="Calibri" w:cs="Calibri"/>
                <w:color w:val="000000"/>
                <w:bdr w:val="none" w:sz="0" w:space="0" w:color="auto" w:frame="1"/>
                <w:shd w:val="clear" w:color="auto" w:fill="FFFFFF"/>
                <w:lang w:val="es-ES_tradnl"/>
              </w:rPr>
              <w:t>Declarar</w:t>
            </w:r>
            <w:r w:rsidRPr="005D1BE1">
              <w:rPr>
                <w:rFonts w:ascii="Calibri" w:eastAsia="Times New Roman" w:hAnsi="Calibri" w:cs="Calibri"/>
                <w:color w:val="000000"/>
                <w:bdr w:val="none" w:sz="0" w:space="0" w:color="auto" w:frame="1"/>
                <w:lang w:val="es-ES_tradnl"/>
              </w:rPr>
              <w:t> </w:t>
            </w:r>
            <w:r w:rsidRPr="009A460E">
              <w:rPr>
                <w:rFonts w:ascii="Calibri" w:eastAsia="Times New Roman" w:hAnsi="Calibri" w:cs="Calibri"/>
                <w:b/>
                <w:bCs/>
                <w:color w:val="000000"/>
                <w:bdr w:val="none" w:sz="0" w:space="0" w:color="auto" w:frame="1"/>
                <w:lang w:val="es-ES_tradnl"/>
              </w:rPr>
              <w:t>EXEQUIBLE</w:t>
            </w:r>
            <w:r w:rsidRPr="005D1BE1">
              <w:rPr>
                <w:rFonts w:ascii="Calibri" w:eastAsia="Times New Roman" w:hAnsi="Calibri" w:cs="Calibri"/>
                <w:b/>
                <w:bCs/>
                <w:color w:val="000000"/>
                <w:bdr w:val="none" w:sz="0" w:space="0" w:color="auto" w:frame="1"/>
                <w:lang w:val="es-ES_tradnl"/>
              </w:rPr>
              <w:t> </w:t>
            </w:r>
            <w:r w:rsidRPr="009A460E">
              <w:rPr>
                <w:rFonts w:ascii="Calibri" w:eastAsia="Times New Roman" w:hAnsi="Calibri" w:cs="Calibri"/>
                <w:color w:val="000000"/>
                <w:bdr w:val="none" w:sz="0" w:space="0" w:color="auto" w:frame="1"/>
                <w:lang w:val="es-ES_tradnl"/>
              </w:rPr>
              <w:t>el inciso segundo</w:t>
            </w:r>
            <w:r w:rsidRPr="005D1BE1">
              <w:rPr>
                <w:rFonts w:ascii="Calibri" w:eastAsia="Times New Roman" w:hAnsi="Calibri" w:cs="Calibri"/>
                <w:color w:val="000000"/>
                <w:bdr w:val="none" w:sz="0" w:space="0" w:color="auto" w:frame="1"/>
                <w:lang w:val="es-ES_tradnl"/>
              </w:rPr>
              <w:t> </w:t>
            </w:r>
            <w:r w:rsidRPr="009A460E">
              <w:rPr>
                <w:rFonts w:ascii="Calibri" w:eastAsia="Times New Roman" w:hAnsi="Calibri" w:cs="Calibri"/>
                <w:color w:val="000000"/>
                <w:bdr w:val="none" w:sz="0" w:space="0" w:color="auto" w:frame="1"/>
                <w:lang w:val="es-ES_tradnl"/>
              </w:rPr>
              <w:t>del artículo 173 de la Ley 1753 de 2015, siempre que se entienda que si el Ministerio de Ambiente y Desarrollo Sostenible se aparta del área de referencia establecida por el Instituto Alexander von Humboldt en la delimitación de los páramos, debe fundamentar explícitamente su decisión en un criterio científico que provea un mayor grado de protección del ecosistema de páramo.</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color w:val="000000"/>
                <w:bdr w:val="none" w:sz="0" w:space="0" w:color="auto" w:frame="1"/>
                <w:lang w:val="es-ES_tradnl"/>
              </w:rPr>
              <w:t> </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b/>
                <w:bCs/>
                <w:color w:val="000000"/>
                <w:bdr w:val="none" w:sz="0" w:space="0" w:color="auto" w:frame="1"/>
                <w:shd w:val="clear" w:color="auto" w:fill="FFFFFF"/>
                <w:lang w:val="es-ES_tradnl"/>
              </w:rPr>
              <w:t>Octavo.-</w:t>
            </w:r>
            <w:r w:rsidRPr="005D1BE1">
              <w:rPr>
                <w:rFonts w:ascii="Calibri" w:eastAsia="Times New Roman" w:hAnsi="Calibri" w:cs="Calibri"/>
                <w:b/>
                <w:bCs/>
                <w:color w:val="000000"/>
                <w:bdr w:val="none" w:sz="0" w:space="0" w:color="auto" w:frame="1"/>
                <w:shd w:val="clear" w:color="auto" w:fill="FFFFFF"/>
                <w:lang w:val="es-ES_tradnl"/>
              </w:rPr>
              <w:t> </w:t>
            </w:r>
            <w:r w:rsidRPr="009A460E">
              <w:rPr>
                <w:rFonts w:ascii="Calibri" w:eastAsia="Times New Roman" w:hAnsi="Calibri" w:cs="Calibri"/>
                <w:color w:val="000000"/>
                <w:bdr w:val="none" w:sz="0" w:space="0" w:color="auto" w:frame="1"/>
                <w:shd w:val="clear" w:color="auto" w:fill="FFFFFF"/>
                <w:lang w:val="es-ES_tradnl"/>
              </w:rPr>
              <w:t>Declarar</w:t>
            </w:r>
            <w:r w:rsidRPr="005D1BE1">
              <w:rPr>
                <w:rFonts w:ascii="Calibri" w:eastAsia="Times New Roman" w:hAnsi="Calibri" w:cs="Calibri"/>
                <w:color w:val="000000"/>
                <w:bdr w:val="none" w:sz="0" w:space="0" w:color="auto" w:frame="1"/>
                <w:lang w:val="es-ES_tradnl"/>
              </w:rPr>
              <w:t> </w:t>
            </w:r>
            <w:r w:rsidRPr="005D1BE1">
              <w:rPr>
                <w:rFonts w:ascii="Calibri" w:eastAsia="Times New Roman" w:hAnsi="Calibri" w:cs="Calibri"/>
                <w:b/>
                <w:bCs/>
                <w:color w:val="000000"/>
                <w:bdr w:val="none" w:sz="0" w:space="0" w:color="auto" w:frame="1"/>
                <w:lang w:val="es-ES_tradnl"/>
              </w:rPr>
              <w:t>IN</w:t>
            </w:r>
            <w:r w:rsidRPr="009A460E">
              <w:rPr>
                <w:rFonts w:ascii="Calibri" w:eastAsia="Times New Roman" w:hAnsi="Calibri" w:cs="Calibri"/>
                <w:b/>
                <w:bCs/>
                <w:color w:val="000000"/>
                <w:bdr w:val="none" w:sz="0" w:space="0" w:color="auto" w:frame="1"/>
                <w:lang w:val="es-ES_tradnl"/>
              </w:rPr>
              <w:t>EXEQUIBLES</w:t>
            </w:r>
            <w:r w:rsidRPr="005D1BE1">
              <w:rPr>
                <w:rFonts w:ascii="Calibri" w:eastAsia="Times New Roman" w:hAnsi="Calibri" w:cs="Calibri"/>
                <w:b/>
                <w:bCs/>
                <w:color w:val="000000"/>
                <w:bdr w:val="none" w:sz="0" w:space="0" w:color="auto" w:frame="1"/>
                <w:lang w:val="es-ES_tradnl"/>
              </w:rPr>
              <w:t> </w:t>
            </w:r>
            <w:r w:rsidRPr="009A460E">
              <w:rPr>
                <w:rFonts w:ascii="Calibri" w:eastAsia="Times New Roman" w:hAnsi="Calibri" w:cs="Calibri"/>
                <w:color w:val="000000"/>
                <w:bdr w:val="none" w:sz="0" w:space="0" w:color="auto" w:frame="1"/>
                <w:lang w:val="es-ES_tradnl"/>
              </w:rPr>
              <w:t>los incisos primero, segundo y tercero del primer parágrafo del artículo 173 de la Ley 1753 de 2015.</w:t>
            </w:r>
          </w:p>
          <w:p w:rsidR="009A460E" w:rsidRPr="009A460E" w:rsidRDefault="009A460E" w:rsidP="009A460E">
            <w:pPr>
              <w:shd w:val="clear" w:color="auto" w:fill="FFFFFF"/>
              <w:jc w:val="both"/>
              <w:textAlignment w:val="baseline"/>
              <w:rPr>
                <w:rFonts w:ascii="Calibri" w:eastAsia="Times New Roman" w:hAnsi="Calibri" w:cs="Calibri"/>
              </w:rPr>
            </w:pPr>
            <w:r w:rsidRPr="009A460E">
              <w:rPr>
                <w:rFonts w:ascii="Calibri" w:eastAsia="Times New Roman" w:hAnsi="Calibri" w:cs="Calibri"/>
                <w:i/>
                <w:iCs/>
                <w:bdr w:val="none" w:sz="0" w:space="0" w:color="auto" w:frame="1"/>
                <w:lang w:val="es-ES_tradnl"/>
              </w:rPr>
              <w:t> </w:t>
            </w:r>
          </w:p>
          <w:p w:rsidR="009A460E" w:rsidRPr="005D1BE1" w:rsidRDefault="009A460E" w:rsidP="007F1F09">
            <w:pPr>
              <w:jc w:val="center"/>
              <w:rPr>
                <w:rFonts w:ascii="Calibri" w:hAnsi="Calibri" w:cs="Calibri"/>
                <w:b/>
              </w:rPr>
            </w:pPr>
          </w:p>
        </w:tc>
      </w:tr>
      <w:tr w:rsidR="001A1FA4" w:rsidRPr="00E15181" w:rsidTr="00D10480">
        <w:trPr>
          <w:trHeight w:val="4420"/>
        </w:trPr>
        <w:tc>
          <w:tcPr>
            <w:tcW w:w="2553" w:type="dxa"/>
          </w:tcPr>
          <w:p w:rsidR="0016315B" w:rsidRPr="002D0BDB" w:rsidRDefault="0016315B" w:rsidP="0016315B">
            <w:pPr>
              <w:ind w:right="-54"/>
              <w:rPr>
                <w:rFonts w:ascii="Calibri" w:eastAsia="Times New Roman" w:hAnsi="Calibri" w:cs="Calibri"/>
                <w:bdr w:val="none" w:sz="0" w:space="0" w:color="auto" w:frame="1"/>
              </w:rPr>
            </w:pPr>
          </w:p>
          <w:p w:rsidR="008807AF" w:rsidRPr="002D0BDB" w:rsidRDefault="008807AF" w:rsidP="008807AF">
            <w:pPr>
              <w:shd w:val="clear" w:color="auto" w:fill="FFFFFF"/>
              <w:ind w:left="72"/>
              <w:jc w:val="both"/>
              <w:textAlignment w:val="baseline"/>
              <w:rPr>
                <w:rFonts w:ascii="Calibri" w:hAnsi="Calibri" w:cs="Calibri"/>
              </w:rPr>
            </w:pPr>
          </w:p>
        </w:tc>
        <w:tc>
          <w:tcPr>
            <w:tcW w:w="2835" w:type="dxa"/>
          </w:tcPr>
          <w:p w:rsidR="00A17D04" w:rsidRPr="00E15181" w:rsidRDefault="00A17D04" w:rsidP="00A17D04">
            <w:pPr>
              <w:pStyle w:val="Ttulo2"/>
              <w:numPr>
                <w:ilvl w:val="0"/>
                <w:numId w:val="0"/>
              </w:numPr>
              <w:outlineLvl w:val="1"/>
              <w:rPr>
                <w:rFonts w:ascii="Calibri" w:eastAsiaTheme="minorEastAsia" w:hAnsi="Calibri" w:cs="Calibri"/>
                <w:bCs w:val="0"/>
                <w:sz w:val="22"/>
                <w:szCs w:val="22"/>
                <w:highlight w:val="yellow"/>
                <w:lang w:val="es-CO" w:eastAsia="es-CO"/>
              </w:rPr>
            </w:pPr>
          </w:p>
          <w:p w:rsidR="00A17D04" w:rsidRPr="00E15181" w:rsidRDefault="00A17D04" w:rsidP="00003971">
            <w:pPr>
              <w:jc w:val="both"/>
              <w:rPr>
                <w:rFonts w:ascii="Calibri" w:hAnsi="Calibri" w:cs="Calibri"/>
                <w:b/>
                <w:highlight w:val="yellow"/>
              </w:rPr>
            </w:pPr>
          </w:p>
        </w:tc>
        <w:tc>
          <w:tcPr>
            <w:tcW w:w="2835" w:type="dxa"/>
          </w:tcPr>
          <w:p w:rsidR="00A9362E" w:rsidRPr="00E15181" w:rsidRDefault="00A9362E" w:rsidP="008E2869">
            <w:pPr>
              <w:jc w:val="both"/>
              <w:rPr>
                <w:rFonts w:ascii="Calibri" w:hAnsi="Calibri" w:cs="Calibri"/>
                <w:color w:val="FF0000"/>
                <w:highlight w:val="yellow"/>
              </w:rPr>
            </w:pPr>
          </w:p>
        </w:tc>
        <w:tc>
          <w:tcPr>
            <w:tcW w:w="2551" w:type="dxa"/>
          </w:tcPr>
          <w:p w:rsidR="00B0198E" w:rsidRPr="00E15181" w:rsidRDefault="00B0198E" w:rsidP="008E2869">
            <w:pPr>
              <w:jc w:val="both"/>
              <w:rPr>
                <w:rFonts w:ascii="Calibri" w:hAnsi="Calibri" w:cs="Calibri"/>
                <w:color w:val="FF0000"/>
                <w:highlight w:val="yellow"/>
              </w:rPr>
            </w:pPr>
          </w:p>
          <w:p w:rsidR="00E92F93" w:rsidRPr="00E15181" w:rsidRDefault="00E92F93" w:rsidP="00032F06">
            <w:pPr>
              <w:ind w:right="-54"/>
              <w:jc w:val="both"/>
              <w:rPr>
                <w:rFonts w:ascii="Calibri" w:hAnsi="Calibri" w:cs="Calibri"/>
                <w:color w:val="FF0000"/>
                <w:highlight w:val="yellow"/>
              </w:rPr>
            </w:pPr>
          </w:p>
        </w:tc>
        <w:tc>
          <w:tcPr>
            <w:tcW w:w="2977" w:type="dxa"/>
            <w:gridSpan w:val="2"/>
          </w:tcPr>
          <w:p w:rsidR="00AF1267" w:rsidRPr="00E15181" w:rsidRDefault="00AF1267" w:rsidP="00AF1267">
            <w:pPr>
              <w:jc w:val="both"/>
              <w:rPr>
                <w:rFonts w:ascii="Calibri" w:hAnsi="Calibri" w:cs="Calibri"/>
                <w:highlight w:val="yellow"/>
              </w:rPr>
            </w:pPr>
          </w:p>
          <w:p w:rsidR="00020F77" w:rsidRPr="00E15181" w:rsidRDefault="00020F77" w:rsidP="00E15181">
            <w:pPr>
              <w:jc w:val="both"/>
              <w:rPr>
                <w:rFonts w:ascii="Calibri" w:eastAsia="Batang" w:hAnsi="Calibri" w:cs="Calibri"/>
                <w:color w:val="FF0000"/>
                <w:highlight w:val="yellow"/>
              </w:rPr>
            </w:pPr>
          </w:p>
        </w:tc>
      </w:tr>
      <w:tr w:rsidR="001A1FA4" w:rsidRPr="00E15181" w:rsidTr="008A3680">
        <w:trPr>
          <w:trHeight w:val="822"/>
        </w:trPr>
        <w:tc>
          <w:tcPr>
            <w:tcW w:w="13751" w:type="dxa"/>
            <w:gridSpan w:val="6"/>
          </w:tcPr>
          <w:p w:rsidR="00EF6DF8" w:rsidRPr="002D0BDB" w:rsidRDefault="000955EA" w:rsidP="002D0BDB">
            <w:pPr>
              <w:jc w:val="both"/>
              <w:rPr>
                <w:rFonts w:ascii="Calibri" w:hAnsi="Calibri" w:cs="Calibri"/>
              </w:rPr>
            </w:pPr>
            <w:r w:rsidRPr="002D0BDB">
              <w:rPr>
                <w:rFonts w:ascii="Calibri" w:hAnsi="Calibri" w:cs="Calibri"/>
                <w:b/>
              </w:rPr>
              <w:t>COMENTARIO:</w:t>
            </w:r>
            <w:r w:rsidR="00583CB4" w:rsidRPr="002D0BDB">
              <w:rPr>
                <w:rFonts w:ascii="Calibri" w:hAnsi="Calibri" w:cs="Calibri"/>
                <w:b/>
              </w:rPr>
              <w:t xml:space="preserve"> </w:t>
            </w:r>
            <w:r w:rsidR="00C12AD6" w:rsidRPr="002D0BDB">
              <w:rPr>
                <w:rFonts w:ascii="Calibri" w:hAnsi="Calibri" w:cs="Calibri"/>
              </w:rPr>
              <w:t>Si bien a través de la explotación minera se genera una actividad económica,</w:t>
            </w:r>
            <w:r w:rsidR="00FD75DF" w:rsidRPr="002D0BDB">
              <w:rPr>
                <w:rFonts w:ascii="Calibri" w:hAnsi="Calibri" w:cs="Calibri"/>
              </w:rPr>
              <w:t xml:space="preserve"> no deben realizarse los </w:t>
            </w:r>
            <w:r w:rsidR="00FD75DF" w:rsidRPr="002D0BDB">
              <w:rPr>
                <w:rFonts w:ascii="Calibri" w:hAnsi="Calibri" w:cs="Calibri"/>
                <w:iCs/>
                <w:snapToGrid w:val="0"/>
              </w:rPr>
              <w:t xml:space="preserve">trabajos de exploración y explotación mineras en zonas declaradas y delimitadas como de protección y desarrollo de los recursos naturales renovables o del ambiente. Por consiguiente, </w:t>
            </w:r>
            <w:r w:rsidR="00C12AD6" w:rsidRPr="002D0BDB">
              <w:rPr>
                <w:rFonts w:ascii="Calibri" w:hAnsi="Calibri" w:cs="Calibri"/>
              </w:rPr>
              <w:t xml:space="preserve"> el marco constitucional y legal debe </w:t>
            </w:r>
            <w:r w:rsidR="00146BC2" w:rsidRPr="002D0BDB">
              <w:rPr>
                <w:rFonts w:ascii="Calibri" w:hAnsi="Calibri" w:cs="Calibri"/>
              </w:rPr>
              <w:t>establecer la planificación</w:t>
            </w:r>
            <w:r w:rsidR="00FD75DF" w:rsidRPr="002D0BDB">
              <w:rPr>
                <w:rFonts w:ascii="Calibri" w:hAnsi="Calibri" w:cs="Calibri"/>
              </w:rPr>
              <w:t xml:space="preserve"> y</w:t>
            </w:r>
            <w:r w:rsidR="00146BC2" w:rsidRPr="002D0BDB">
              <w:rPr>
                <w:rFonts w:ascii="Calibri" w:hAnsi="Calibri" w:cs="Calibri"/>
              </w:rPr>
              <w:t xml:space="preserve"> </w:t>
            </w:r>
            <w:r w:rsidR="00AA3CA7" w:rsidRPr="002D0BDB">
              <w:rPr>
                <w:rFonts w:ascii="Calibri" w:hAnsi="Calibri" w:cs="Calibri"/>
              </w:rPr>
              <w:t xml:space="preserve">conservación </w:t>
            </w:r>
            <w:r w:rsidR="00FD75DF" w:rsidRPr="002D0BDB">
              <w:rPr>
                <w:rFonts w:ascii="Calibri" w:hAnsi="Calibri" w:cs="Calibri"/>
              </w:rPr>
              <w:t>de los ecosistemas</w:t>
            </w:r>
            <w:r w:rsidR="00AA3CA7" w:rsidRPr="002D0BDB">
              <w:rPr>
                <w:rFonts w:ascii="Calibri" w:hAnsi="Calibri" w:cs="Calibri"/>
              </w:rPr>
              <w:t>.</w:t>
            </w:r>
          </w:p>
        </w:tc>
      </w:tr>
    </w:tbl>
    <w:p w:rsidR="00B5550D" w:rsidRPr="00E15181" w:rsidRDefault="00B5550D" w:rsidP="008A6AA9">
      <w:pPr>
        <w:spacing w:line="240" w:lineRule="auto"/>
        <w:rPr>
          <w:rFonts w:ascii="Calibri" w:hAnsi="Calibri" w:cs="Calibri"/>
          <w:b/>
          <w:color w:val="FF0000"/>
        </w:rPr>
      </w:pPr>
    </w:p>
    <w:sectPr w:rsidR="00B5550D" w:rsidRPr="00E15181" w:rsidSect="008A368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44" w:rsidRDefault="00184544" w:rsidP="00680F16">
      <w:pPr>
        <w:spacing w:after="0" w:line="240" w:lineRule="auto"/>
      </w:pPr>
      <w:r>
        <w:separator/>
      </w:r>
    </w:p>
  </w:endnote>
  <w:endnote w:type="continuationSeparator" w:id="0">
    <w:p w:rsidR="00184544" w:rsidRDefault="00184544" w:rsidP="0068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44" w:rsidRDefault="00184544" w:rsidP="00680F16">
      <w:pPr>
        <w:spacing w:after="0" w:line="240" w:lineRule="auto"/>
      </w:pPr>
      <w:r>
        <w:separator/>
      </w:r>
    </w:p>
  </w:footnote>
  <w:footnote w:type="continuationSeparator" w:id="0">
    <w:p w:rsidR="00184544" w:rsidRDefault="00184544" w:rsidP="00680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68C"/>
    <w:multiLevelType w:val="hybridMultilevel"/>
    <w:tmpl w:val="4E72F29C"/>
    <w:lvl w:ilvl="0" w:tplc="AAA2B7BC">
      <w:start w:val="1"/>
      <w:numFmt w:val="lowerRoman"/>
      <w:lvlText w:val="%1)"/>
      <w:lvlJc w:val="left"/>
      <w:pPr>
        <w:ind w:left="750" w:hanging="720"/>
      </w:pPr>
      <w:rPr>
        <w:rFonts w:hint="default"/>
        <w:i w:val="0"/>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 w15:restartNumberingAfterBreak="0">
    <w:nsid w:val="262B0BFB"/>
    <w:multiLevelType w:val="multilevel"/>
    <w:tmpl w:val="94AE7540"/>
    <w:lvl w:ilvl="0">
      <w:start w:val="1"/>
      <w:numFmt w:val="upperRoman"/>
      <w:pStyle w:val="Ttulo1"/>
      <w:lvlText w:val="%1."/>
      <w:lvlJc w:val="left"/>
      <w:pPr>
        <w:tabs>
          <w:tab w:val="num" w:pos="720"/>
        </w:tabs>
      </w:pPr>
      <w:rPr>
        <w:rFonts w:ascii="Times New Roman" w:hAnsi="Times New Roman" w:cs="Times New Roman" w:hint="default"/>
        <w:b/>
        <w:i w:val="0"/>
        <w:caps/>
        <w:sz w:val="28"/>
        <w:szCs w:val="28"/>
      </w:rPr>
    </w:lvl>
    <w:lvl w:ilvl="1">
      <w:start w:val="1"/>
      <w:numFmt w:val="decimal"/>
      <w:pStyle w:val="Ttulo2"/>
      <w:lvlText w:val="%2."/>
      <w:lvlJc w:val="left"/>
      <w:pPr>
        <w:tabs>
          <w:tab w:val="num" w:pos="360"/>
        </w:tabs>
      </w:pPr>
      <w:rPr>
        <w:rFonts w:ascii="Times New Roman" w:hAnsi="Times New Roman" w:cs="Times New Roman" w:hint="default"/>
        <w:b/>
        <w:i w:val="0"/>
        <w:sz w:val="28"/>
        <w:szCs w:val="28"/>
      </w:rPr>
    </w:lvl>
    <w:lvl w:ilvl="2">
      <w:start w:val="1"/>
      <w:numFmt w:val="decimal"/>
      <w:pStyle w:val="Ttulo3"/>
      <w:lvlText w:val="%2.%3."/>
      <w:lvlJc w:val="left"/>
      <w:pPr>
        <w:tabs>
          <w:tab w:val="num" w:pos="840"/>
        </w:tabs>
        <w:ind w:left="120"/>
      </w:pPr>
      <w:rPr>
        <w:rFonts w:ascii="Times New Roman" w:hAnsi="Times New Roman" w:cs="Times New Roman" w:hint="default"/>
        <w:b/>
        <w:i w:val="0"/>
        <w:sz w:val="28"/>
        <w:szCs w:val="28"/>
      </w:rPr>
    </w:lvl>
    <w:lvl w:ilvl="3">
      <w:start w:val="1"/>
      <w:numFmt w:val="decimal"/>
      <w:pStyle w:val="Ttulo4"/>
      <w:lvlText w:val="%2.%3.%4."/>
      <w:lvlJc w:val="left"/>
      <w:pPr>
        <w:tabs>
          <w:tab w:val="num" w:pos="720"/>
        </w:tabs>
      </w:pPr>
      <w:rPr>
        <w:rFonts w:ascii="Times New Roman" w:hAnsi="Times New Roman" w:cs="Times New Roman" w:hint="default"/>
        <w:b/>
        <w:i w:val="0"/>
        <w:sz w:val="28"/>
      </w:rPr>
    </w:lvl>
    <w:lvl w:ilvl="4">
      <w:start w:val="1"/>
      <w:numFmt w:val="decimal"/>
      <w:pStyle w:val="Ttulo5"/>
      <w:lvlText w:val="%2.%3.%4.%5."/>
      <w:lvlJc w:val="left"/>
      <w:pPr>
        <w:tabs>
          <w:tab w:val="num" w:pos="720"/>
        </w:tabs>
      </w:pPr>
      <w:rPr>
        <w:rFonts w:ascii="Times New Roman" w:hAnsi="Times New Roman" w:cs="Times New Roman" w:hint="default"/>
        <w:b/>
        <w:i w:val="0"/>
        <w:sz w:val="28"/>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2" w15:restartNumberingAfterBreak="0">
    <w:nsid w:val="5A2507FA"/>
    <w:multiLevelType w:val="multilevel"/>
    <w:tmpl w:val="FE360E8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2E"/>
    <w:rsid w:val="00003971"/>
    <w:rsid w:val="00020F77"/>
    <w:rsid w:val="00024998"/>
    <w:rsid w:val="00032F06"/>
    <w:rsid w:val="0004156A"/>
    <w:rsid w:val="00080884"/>
    <w:rsid w:val="0008555D"/>
    <w:rsid w:val="000872C2"/>
    <w:rsid w:val="000955EA"/>
    <w:rsid w:val="000C365E"/>
    <w:rsid w:val="000F1B25"/>
    <w:rsid w:val="001039D0"/>
    <w:rsid w:val="00130C4A"/>
    <w:rsid w:val="00140E5B"/>
    <w:rsid w:val="001454C4"/>
    <w:rsid w:val="00146BC2"/>
    <w:rsid w:val="0016315B"/>
    <w:rsid w:val="00166343"/>
    <w:rsid w:val="00170997"/>
    <w:rsid w:val="00184544"/>
    <w:rsid w:val="001A01C0"/>
    <w:rsid w:val="001A1FA4"/>
    <w:rsid w:val="001A7DB4"/>
    <w:rsid w:val="001C37F4"/>
    <w:rsid w:val="00251F09"/>
    <w:rsid w:val="002646FE"/>
    <w:rsid w:val="00294C31"/>
    <w:rsid w:val="002B410C"/>
    <w:rsid w:val="002C13E5"/>
    <w:rsid w:val="002D0BDB"/>
    <w:rsid w:val="002E1AFA"/>
    <w:rsid w:val="002E4FB0"/>
    <w:rsid w:val="002F3735"/>
    <w:rsid w:val="003528C6"/>
    <w:rsid w:val="00363004"/>
    <w:rsid w:val="003835BA"/>
    <w:rsid w:val="003F1273"/>
    <w:rsid w:val="004013E6"/>
    <w:rsid w:val="00422AEB"/>
    <w:rsid w:val="004C03DD"/>
    <w:rsid w:val="004C7A77"/>
    <w:rsid w:val="005359A5"/>
    <w:rsid w:val="00557401"/>
    <w:rsid w:val="00583CB4"/>
    <w:rsid w:val="005845EB"/>
    <w:rsid w:val="005927CB"/>
    <w:rsid w:val="005A0285"/>
    <w:rsid w:val="005C72C9"/>
    <w:rsid w:val="005D1BE1"/>
    <w:rsid w:val="005E0AD6"/>
    <w:rsid w:val="005F2AC8"/>
    <w:rsid w:val="0060347D"/>
    <w:rsid w:val="006156AB"/>
    <w:rsid w:val="0061595C"/>
    <w:rsid w:val="00680F16"/>
    <w:rsid w:val="006C7B50"/>
    <w:rsid w:val="006E66AD"/>
    <w:rsid w:val="006E6DA1"/>
    <w:rsid w:val="00722D11"/>
    <w:rsid w:val="00763030"/>
    <w:rsid w:val="00766692"/>
    <w:rsid w:val="007B2EFB"/>
    <w:rsid w:val="007C50EF"/>
    <w:rsid w:val="007E26B5"/>
    <w:rsid w:val="007F1F09"/>
    <w:rsid w:val="0083127E"/>
    <w:rsid w:val="008331FF"/>
    <w:rsid w:val="00843A53"/>
    <w:rsid w:val="00855384"/>
    <w:rsid w:val="0085548F"/>
    <w:rsid w:val="00861A96"/>
    <w:rsid w:val="008807AF"/>
    <w:rsid w:val="00894A71"/>
    <w:rsid w:val="008A3680"/>
    <w:rsid w:val="008A6AA9"/>
    <w:rsid w:val="008E2869"/>
    <w:rsid w:val="008F3B29"/>
    <w:rsid w:val="00903DB4"/>
    <w:rsid w:val="009606C0"/>
    <w:rsid w:val="009704E7"/>
    <w:rsid w:val="009A460E"/>
    <w:rsid w:val="009C5175"/>
    <w:rsid w:val="00A16635"/>
    <w:rsid w:val="00A17D04"/>
    <w:rsid w:val="00A64681"/>
    <w:rsid w:val="00A727EC"/>
    <w:rsid w:val="00A9362E"/>
    <w:rsid w:val="00AA3CA7"/>
    <w:rsid w:val="00AC1434"/>
    <w:rsid w:val="00AD2E96"/>
    <w:rsid w:val="00AF1267"/>
    <w:rsid w:val="00AF2C8A"/>
    <w:rsid w:val="00B0198E"/>
    <w:rsid w:val="00B05FE7"/>
    <w:rsid w:val="00B16D86"/>
    <w:rsid w:val="00B5550D"/>
    <w:rsid w:val="00B60A0F"/>
    <w:rsid w:val="00B60F09"/>
    <w:rsid w:val="00B96873"/>
    <w:rsid w:val="00BC5A7A"/>
    <w:rsid w:val="00BE0546"/>
    <w:rsid w:val="00C12AD6"/>
    <w:rsid w:val="00C2166B"/>
    <w:rsid w:val="00C55594"/>
    <w:rsid w:val="00C65CF4"/>
    <w:rsid w:val="00C926F0"/>
    <w:rsid w:val="00C96A77"/>
    <w:rsid w:val="00CA4926"/>
    <w:rsid w:val="00CD7B99"/>
    <w:rsid w:val="00CE62D1"/>
    <w:rsid w:val="00CE6E56"/>
    <w:rsid w:val="00D03F91"/>
    <w:rsid w:val="00D042F1"/>
    <w:rsid w:val="00D10480"/>
    <w:rsid w:val="00D22948"/>
    <w:rsid w:val="00D632F4"/>
    <w:rsid w:val="00DB2D82"/>
    <w:rsid w:val="00DD1156"/>
    <w:rsid w:val="00DD2C39"/>
    <w:rsid w:val="00DF2E58"/>
    <w:rsid w:val="00DF4AF9"/>
    <w:rsid w:val="00E10687"/>
    <w:rsid w:val="00E15181"/>
    <w:rsid w:val="00E41EBA"/>
    <w:rsid w:val="00E5046C"/>
    <w:rsid w:val="00E601EC"/>
    <w:rsid w:val="00E90C84"/>
    <w:rsid w:val="00E92F93"/>
    <w:rsid w:val="00E94E3E"/>
    <w:rsid w:val="00EA5606"/>
    <w:rsid w:val="00EB535D"/>
    <w:rsid w:val="00ED47D4"/>
    <w:rsid w:val="00EF6DF8"/>
    <w:rsid w:val="00F17790"/>
    <w:rsid w:val="00F2796A"/>
    <w:rsid w:val="00FC34F3"/>
    <w:rsid w:val="00FD15A2"/>
    <w:rsid w:val="00FD75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17D2"/>
  <w15:docId w15:val="{B8CA95E4-ACF9-4045-A943-163EC8FE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17D04"/>
    <w:pPr>
      <w:keepNext/>
      <w:numPr>
        <w:numId w:val="2"/>
      </w:numPr>
      <w:spacing w:after="0" w:line="360" w:lineRule="auto"/>
      <w:ind w:right="51"/>
      <w:jc w:val="both"/>
      <w:outlineLvl w:val="0"/>
    </w:pPr>
    <w:rPr>
      <w:rFonts w:ascii="Times New Roman" w:eastAsia="Times New Roman" w:hAnsi="Times New Roman" w:cs="Times New Roman"/>
      <w:b/>
      <w:bCs/>
      <w:sz w:val="28"/>
      <w:szCs w:val="28"/>
      <w:lang w:val="es-ES" w:eastAsia="es-ES"/>
    </w:rPr>
  </w:style>
  <w:style w:type="paragraph" w:styleId="Ttulo2">
    <w:name w:val="heading 2"/>
    <w:basedOn w:val="Normal"/>
    <w:next w:val="Normal"/>
    <w:link w:val="Ttulo2Car"/>
    <w:uiPriority w:val="9"/>
    <w:qFormat/>
    <w:rsid w:val="00A17D04"/>
    <w:pPr>
      <w:keepNext/>
      <w:numPr>
        <w:ilvl w:val="1"/>
        <w:numId w:val="2"/>
      </w:numPr>
      <w:spacing w:after="0" w:line="240" w:lineRule="auto"/>
      <w:jc w:val="both"/>
      <w:outlineLvl w:val="1"/>
    </w:pPr>
    <w:rPr>
      <w:rFonts w:ascii="Times New Roman" w:eastAsia="Times New Roman" w:hAnsi="Times New Roman" w:cs="Times New Roman"/>
      <w:b/>
      <w:bCs/>
      <w:sz w:val="28"/>
      <w:szCs w:val="28"/>
      <w:lang w:val="es-ES" w:eastAsia="es-ES"/>
    </w:rPr>
  </w:style>
  <w:style w:type="paragraph" w:styleId="Ttulo3">
    <w:name w:val="heading 3"/>
    <w:basedOn w:val="Normal"/>
    <w:next w:val="Normal"/>
    <w:link w:val="Ttulo3Car"/>
    <w:uiPriority w:val="9"/>
    <w:qFormat/>
    <w:rsid w:val="00A17D04"/>
    <w:pPr>
      <w:keepNext/>
      <w:numPr>
        <w:ilvl w:val="2"/>
        <w:numId w:val="2"/>
      </w:numPr>
      <w:spacing w:before="240" w:after="60" w:line="240" w:lineRule="auto"/>
      <w:jc w:val="both"/>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A17D04"/>
    <w:pPr>
      <w:keepNext/>
      <w:numPr>
        <w:ilvl w:val="3"/>
        <w:numId w:val="2"/>
      </w:numPr>
      <w:spacing w:before="240" w:after="60" w:line="240" w:lineRule="auto"/>
      <w:jc w:val="both"/>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A17D04"/>
    <w:pPr>
      <w:numPr>
        <w:ilvl w:val="4"/>
        <w:numId w:val="2"/>
      </w:numPr>
      <w:spacing w:before="240" w:after="60" w:line="240" w:lineRule="auto"/>
      <w:jc w:val="both"/>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uiPriority w:val="9"/>
    <w:qFormat/>
    <w:rsid w:val="00A17D04"/>
    <w:pPr>
      <w:numPr>
        <w:ilvl w:val="5"/>
        <w:numId w:val="2"/>
      </w:numPr>
      <w:spacing w:before="240" w:after="60" w:line="240" w:lineRule="auto"/>
      <w:jc w:val="both"/>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iPriority w:val="9"/>
    <w:qFormat/>
    <w:rsid w:val="00A17D04"/>
    <w:pPr>
      <w:numPr>
        <w:ilvl w:val="6"/>
        <w:numId w:val="2"/>
      </w:num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qFormat/>
    <w:rsid w:val="00A17D04"/>
    <w:pPr>
      <w:numPr>
        <w:ilvl w:val="7"/>
        <w:numId w:val="2"/>
      </w:num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uiPriority w:val="9"/>
    <w:qFormat/>
    <w:rsid w:val="00A17D04"/>
    <w:pPr>
      <w:numPr>
        <w:ilvl w:val="8"/>
        <w:numId w:val="2"/>
      </w:numPr>
      <w:spacing w:before="240" w:after="60" w:line="240" w:lineRule="auto"/>
      <w:jc w:val="both"/>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2F3735"/>
    <w:rPr>
      <w:b/>
      <w:bCs/>
    </w:rPr>
  </w:style>
  <w:style w:type="paragraph" w:styleId="Prrafodelista">
    <w:name w:val="List Paragraph"/>
    <w:basedOn w:val="Normal"/>
    <w:uiPriority w:val="34"/>
    <w:qFormat/>
    <w:rsid w:val="007F1F09"/>
    <w:pPr>
      <w:ind w:left="720"/>
      <w:contextualSpacing/>
    </w:pPr>
  </w:style>
  <w:style w:type="paragraph" w:customStyle="1" w:styleId="Car4">
    <w:name w:val="Car4"/>
    <w:basedOn w:val="Normal"/>
    <w:rsid w:val="002B410C"/>
    <w:pPr>
      <w:spacing w:after="160" w:line="240" w:lineRule="exact"/>
      <w:jc w:val="both"/>
    </w:pPr>
    <w:rPr>
      <w:rFonts w:ascii="Tahoma" w:eastAsia="Times New Roman" w:hAnsi="Tahoma" w:cs="Times New Roman"/>
      <w:sz w:val="20"/>
      <w:szCs w:val="20"/>
      <w:lang w:val="en-US" w:eastAsia="en-US"/>
    </w:rPr>
  </w:style>
  <w:style w:type="paragraph" w:customStyle="1" w:styleId="cita">
    <w:name w:val="cita"/>
    <w:basedOn w:val="Normal"/>
    <w:link w:val="citaChar"/>
    <w:rsid w:val="00903DB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7C50EF"/>
    <w:rPr>
      <w:color w:val="0000FF"/>
      <w:u w:val="single"/>
    </w:rPr>
  </w:style>
  <w:style w:type="character" w:customStyle="1" w:styleId="Ttulo1Car">
    <w:name w:val="Título 1 Car"/>
    <w:basedOn w:val="Fuentedeprrafopredeter"/>
    <w:link w:val="Ttulo1"/>
    <w:uiPriority w:val="9"/>
    <w:rsid w:val="00A17D04"/>
    <w:rPr>
      <w:rFonts w:ascii="Times New Roman" w:eastAsia="Times New Roman" w:hAnsi="Times New Roman" w:cs="Times New Roman"/>
      <w:b/>
      <w:bCs/>
      <w:sz w:val="28"/>
      <w:szCs w:val="28"/>
      <w:lang w:val="es-ES" w:eastAsia="es-ES"/>
    </w:rPr>
  </w:style>
  <w:style w:type="character" w:customStyle="1" w:styleId="Ttulo2Car">
    <w:name w:val="Título 2 Car"/>
    <w:basedOn w:val="Fuentedeprrafopredeter"/>
    <w:link w:val="Ttulo2"/>
    <w:uiPriority w:val="9"/>
    <w:rsid w:val="00A17D04"/>
    <w:rPr>
      <w:rFonts w:ascii="Times New Roman" w:eastAsia="Times New Roman" w:hAnsi="Times New Roman" w:cs="Times New Roman"/>
      <w:b/>
      <w:bCs/>
      <w:sz w:val="28"/>
      <w:szCs w:val="28"/>
      <w:lang w:val="es-ES" w:eastAsia="es-ES"/>
    </w:rPr>
  </w:style>
  <w:style w:type="character" w:customStyle="1" w:styleId="Ttulo3Car">
    <w:name w:val="Título 3 Car"/>
    <w:basedOn w:val="Fuentedeprrafopredeter"/>
    <w:link w:val="Ttulo3"/>
    <w:uiPriority w:val="9"/>
    <w:rsid w:val="00A17D04"/>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A17D0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A17D04"/>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rsid w:val="00A17D0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A17D0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A17D0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A17D04"/>
    <w:rPr>
      <w:rFonts w:ascii="Arial" w:eastAsia="Times New Roman" w:hAnsi="Arial" w:cs="Arial"/>
      <w:lang w:val="es-ES" w:eastAsia="es-ES"/>
    </w:rPr>
  </w:style>
  <w:style w:type="character" w:customStyle="1" w:styleId="citaChar">
    <w:name w:val="cita Char"/>
    <w:link w:val="cita"/>
    <w:locked/>
    <w:rsid w:val="00A17D04"/>
    <w:rPr>
      <w:rFonts w:ascii="Times New Roman" w:eastAsia="Times New Roman" w:hAnsi="Times New Roman" w:cs="Times New Roman"/>
      <w:sz w:val="24"/>
      <w:szCs w:val="24"/>
    </w:rPr>
  </w:style>
  <w:style w:type="paragraph" w:customStyle="1" w:styleId="sangradetindependiente">
    <w:name w:val="sangradetindependiente"/>
    <w:basedOn w:val="Normal"/>
    <w:rsid w:val="00AF1267"/>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paragraph" w:styleId="Textonotapie">
    <w:name w:val="footnote text"/>
    <w:aliases w:val="Ref. de nota al pie1,referencia nota al pie,Appel note de bas de page"/>
    <w:basedOn w:val="Normal"/>
    <w:link w:val="TextonotapieCar"/>
    <w:uiPriority w:val="99"/>
    <w:semiHidden/>
    <w:rsid w:val="00680F16"/>
    <w:pPr>
      <w:spacing w:after="0" w:line="240" w:lineRule="auto"/>
      <w:jc w:val="both"/>
    </w:pPr>
    <w:rPr>
      <w:rFonts w:ascii="Times New Roman" w:eastAsia="Times New Roman" w:hAnsi="Times New Roman" w:cs="Times New Roman"/>
      <w:lang w:val="es-ES" w:eastAsia="es-ES"/>
    </w:rPr>
  </w:style>
  <w:style w:type="character" w:customStyle="1" w:styleId="TextonotapieCar">
    <w:name w:val="Texto nota pie Car"/>
    <w:aliases w:val="Ref. de nota al pie1 Car,referencia nota al pie Car,Appel note de bas de page Car"/>
    <w:basedOn w:val="Fuentedeprrafopredeter"/>
    <w:link w:val="Textonotapie"/>
    <w:uiPriority w:val="99"/>
    <w:semiHidden/>
    <w:rsid w:val="00680F16"/>
    <w:rPr>
      <w:rFonts w:ascii="Times New Roman" w:eastAsia="Times New Roman" w:hAnsi="Times New Roman" w:cs="Times New Roman"/>
      <w:lang w:val="es-ES" w:eastAsia="es-ES"/>
    </w:rPr>
  </w:style>
  <w:style w:type="character" w:customStyle="1" w:styleId="apple-converted-space">
    <w:name w:val="apple-converted-space"/>
    <w:basedOn w:val="Fuentedeprrafopredeter"/>
    <w:rsid w:val="0016315B"/>
  </w:style>
  <w:style w:type="character" w:styleId="Refdenotaalpie">
    <w:name w:val="footnote reference"/>
    <w:basedOn w:val="Fuentedeprrafopredeter"/>
    <w:uiPriority w:val="99"/>
    <w:semiHidden/>
    <w:unhideWhenUsed/>
    <w:rsid w:val="008807AF"/>
  </w:style>
  <w:style w:type="paragraph" w:styleId="NormalWeb">
    <w:name w:val="Normal (Web)"/>
    <w:basedOn w:val="Normal"/>
    <w:uiPriority w:val="99"/>
    <w:semiHidden/>
    <w:unhideWhenUsed/>
    <w:rsid w:val="00894A7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A46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80528">
      <w:bodyDiv w:val="1"/>
      <w:marLeft w:val="0"/>
      <w:marRight w:val="0"/>
      <w:marTop w:val="0"/>
      <w:marBottom w:val="0"/>
      <w:divBdr>
        <w:top w:val="none" w:sz="0" w:space="0" w:color="auto"/>
        <w:left w:val="none" w:sz="0" w:space="0" w:color="auto"/>
        <w:bottom w:val="none" w:sz="0" w:space="0" w:color="auto"/>
        <w:right w:val="none" w:sz="0" w:space="0" w:color="auto"/>
      </w:divBdr>
    </w:div>
    <w:div w:id="579870398">
      <w:bodyDiv w:val="1"/>
      <w:marLeft w:val="0"/>
      <w:marRight w:val="0"/>
      <w:marTop w:val="0"/>
      <w:marBottom w:val="0"/>
      <w:divBdr>
        <w:top w:val="none" w:sz="0" w:space="0" w:color="auto"/>
        <w:left w:val="none" w:sz="0" w:space="0" w:color="auto"/>
        <w:bottom w:val="none" w:sz="0" w:space="0" w:color="auto"/>
        <w:right w:val="none" w:sz="0" w:space="0" w:color="auto"/>
      </w:divBdr>
    </w:div>
    <w:div w:id="733309296">
      <w:bodyDiv w:val="1"/>
      <w:marLeft w:val="0"/>
      <w:marRight w:val="0"/>
      <w:marTop w:val="0"/>
      <w:marBottom w:val="0"/>
      <w:divBdr>
        <w:top w:val="none" w:sz="0" w:space="0" w:color="auto"/>
        <w:left w:val="none" w:sz="0" w:space="0" w:color="auto"/>
        <w:bottom w:val="none" w:sz="0" w:space="0" w:color="auto"/>
        <w:right w:val="none" w:sz="0" w:space="0" w:color="auto"/>
      </w:divBdr>
    </w:div>
    <w:div w:id="1227762405">
      <w:bodyDiv w:val="1"/>
      <w:marLeft w:val="0"/>
      <w:marRight w:val="0"/>
      <w:marTop w:val="0"/>
      <w:marBottom w:val="0"/>
      <w:divBdr>
        <w:top w:val="none" w:sz="0" w:space="0" w:color="auto"/>
        <w:left w:val="none" w:sz="0" w:space="0" w:color="auto"/>
        <w:bottom w:val="none" w:sz="0" w:space="0" w:color="auto"/>
        <w:right w:val="none" w:sz="0" w:space="0" w:color="auto"/>
      </w:divBdr>
    </w:div>
    <w:div w:id="1592352640">
      <w:bodyDiv w:val="1"/>
      <w:marLeft w:val="0"/>
      <w:marRight w:val="0"/>
      <w:marTop w:val="0"/>
      <w:marBottom w:val="0"/>
      <w:divBdr>
        <w:top w:val="none" w:sz="0" w:space="0" w:color="auto"/>
        <w:left w:val="none" w:sz="0" w:space="0" w:color="auto"/>
        <w:bottom w:val="none" w:sz="0" w:space="0" w:color="auto"/>
        <w:right w:val="none" w:sz="0" w:space="0" w:color="auto"/>
      </w:divBdr>
    </w:div>
    <w:div w:id="1956209546">
      <w:bodyDiv w:val="1"/>
      <w:marLeft w:val="0"/>
      <w:marRight w:val="0"/>
      <w:marTop w:val="0"/>
      <w:marBottom w:val="0"/>
      <w:divBdr>
        <w:top w:val="none" w:sz="0" w:space="0" w:color="auto"/>
        <w:left w:val="none" w:sz="0" w:space="0" w:color="auto"/>
        <w:bottom w:val="none" w:sz="0" w:space="0" w:color="auto"/>
        <w:right w:val="none" w:sz="0" w:space="0" w:color="auto"/>
      </w:divBdr>
      <w:divsChild>
        <w:div w:id="225457012">
          <w:marLeft w:val="0"/>
          <w:marRight w:val="0"/>
          <w:marTop w:val="0"/>
          <w:marBottom w:val="0"/>
          <w:divBdr>
            <w:top w:val="none" w:sz="0" w:space="0" w:color="auto"/>
            <w:left w:val="none" w:sz="0" w:space="0" w:color="auto"/>
            <w:bottom w:val="none" w:sz="0" w:space="0" w:color="auto"/>
            <w:right w:val="none" w:sz="0" w:space="0" w:color="auto"/>
          </w:divBdr>
        </w:div>
        <w:div w:id="1885556650">
          <w:marLeft w:val="0"/>
          <w:marRight w:val="0"/>
          <w:marTop w:val="0"/>
          <w:marBottom w:val="0"/>
          <w:divBdr>
            <w:top w:val="none" w:sz="0" w:space="0" w:color="auto"/>
            <w:left w:val="none" w:sz="0" w:space="0" w:color="auto"/>
            <w:bottom w:val="none" w:sz="0" w:space="0" w:color="auto"/>
            <w:right w:val="none" w:sz="0" w:space="0" w:color="auto"/>
          </w:divBdr>
        </w:div>
        <w:div w:id="1082682273">
          <w:marLeft w:val="0"/>
          <w:marRight w:val="0"/>
          <w:marTop w:val="0"/>
          <w:marBottom w:val="0"/>
          <w:divBdr>
            <w:top w:val="none" w:sz="0" w:space="0" w:color="auto"/>
            <w:left w:val="none" w:sz="0" w:space="0" w:color="auto"/>
            <w:bottom w:val="none" w:sz="0" w:space="0" w:color="auto"/>
            <w:right w:val="none" w:sz="0" w:space="0" w:color="auto"/>
          </w:divBdr>
        </w:div>
        <w:div w:id="457996096">
          <w:marLeft w:val="0"/>
          <w:marRight w:val="0"/>
          <w:marTop w:val="0"/>
          <w:marBottom w:val="0"/>
          <w:divBdr>
            <w:top w:val="none" w:sz="0" w:space="0" w:color="auto"/>
            <w:left w:val="none" w:sz="0" w:space="0" w:color="auto"/>
            <w:bottom w:val="none" w:sz="0" w:space="0" w:color="auto"/>
            <w:right w:val="none" w:sz="0" w:space="0" w:color="auto"/>
          </w:divBdr>
        </w:div>
        <w:div w:id="103883667">
          <w:marLeft w:val="0"/>
          <w:marRight w:val="0"/>
          <w:marTop w:val="0"/>
          <w:marBottom w:val="0"/>
          <w:divBdr>
            <w:top w:val="none" w:sz="0" w:space="0" w:color="auto"/>
            <w:left w:val="none" w:sz="0" w:space="0" w:color="auto"/>
            <w:bottom w:val="none" w:sz="0" w:space="0" w:color="auto"/>
            <w:right w:val="none" w:sz="0" w:space="0" w:color="auto"/>
          </w:divBdr>
        </w:div>
        <w:div w:id="1065254158">
          <w:marLeft w:val="0"/>
          <w:marRight w:val="0"/>
          <w:marTop w:val="0"/>
          <w:marBottom w:val="0"/>
          <w:divBdr>
            <w:top w:val="none" w:sz="0" w:space="0" w:color="auto"/>
            <w:left w:val="none" w:sz="0" w:space="0" w:color="auto"/>
            <w:bottom w:val="none" w:sz="0" w:space="0" w:color="auto"/>
            <w:right w:val="none" w:sz="0" w:space="0" w:color="auto"/>
          </w:divBdr>
        </w:div>
        <w:div w:id="105998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juan.rosas</dc:creator>
  <cp:lastModifiedBy>PAOLA.MONTES</cp:lastModifiedBy>
  <cp:revision>2</cp:revision>
  <cp:lastPrinted>2014-02-03T16:03:00Z</cp:lastPrinted>
  <dcterms:created xsi:type="dcterms:W3CDTF">2017-06-16T00:19:00Z</dcterms:created>
  <dcterms:modified xsi:type="dcterms:W3CDTF">2017-06-16T00:19:00Z</dcterms:modified>
</cp:coreProperties>
</file>