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center" w:tblpY="-706"/>
        <w:tblW w:w="1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3755"/>
        <w:gridCol w:w="2890"/>
        <w:gridCol w:w="2977"/>
        <w:gridCol w:w="1805"/>
        <w:gridCol w:w="38"/>
      </w:tblGrid>
      <w:tr w:rsidR="005E5A0E" w:rsidRPr="00BC5A7A" w:rsidTr="00CA1B11">
        <w:trPr>
          <w:trHeight w:val="703"/>
        </w:trPr>
        <w:tc>
          <w:tcPr>
            <w:tcW w:w="13876" w:type="dxa"/>
            <w:gridSpan w:val="6"/>
          </w:tcPr>
          <w:p w:rsidR="005E5A0E" w:rsidRPr="00F83FB5" w:rsidRDefault="005E5A0E" w:rsidP="00CA1B11">
            <w:pPr>
              <w:rPr>
                <w:rFonts w:cs="Arial"/>
                <w:b/>
                <w:color w:val="000000" w:themeColor="text1"/>
                <w:sz w:val="20"/>
                <w:szCs w:val="20"/>
              </w:rPr>
            </w:pPr>
            <w:r w:rsidRPr="00F83FB5">
              <w:rPr>
                <w:rFonts w:cs="Arial"/>
                <w:b/>
                <w:color w:val="000000" w:themeColor="text1"/>
                <w:sz w:val="20"/>
                <w:szCs w:val="20"/>
              </w:rPr>
              <w:t>CORTE CONSTITUCIONAL SENTENCIA T-095/16</w:t>
            </w:r>
          </w:p>
          <w:p w:rsidR="005E5A0E" w:rsidRPr="00F83FB5" w:rsidRDefault="005E5A0E" w:rsidP="00CA1B11">
            <w:pPr>
              <w:rPr>
                <w:rFonts w:cs="Arial"/>
                <w:b/>
                <w:color w:val="000000" w:themeColor="text1"/>
                <w:sz w:val="20"/>
                <w:szCs w:val="20"/>
              </w:rPr>
            </w:pPr>
            <w:r w:rsidRPr="00F83FB5">
              <w:rPr>
                <w:rFonts w:cs="Arial"/>
                <w:b/>
                <w:color w:val="000000" w:themeColor="text1"/>
                <w:sz w:val="20"/>
                <w:szCs w:val="20"/>
              </w:rPr>
              <w:t>ACCION DE TUTELA PARA LA PROTECION DE DERECHOS COLECTIVOS.</w:t>
            </w:r>
          </w:p>
          <w:p w:rsidR="005E5A0E" w:rsidRPr="00F83FB5" w:rsidRDefault="005E5A0E" w:rsidP="00CA1B11">
            <w:pPr>
              <w:rPr>
                <w:color w:val="000000" w:themeColor="text1"/>
                <w:sz w:val="20"/>
                <w:szCs w:val="20"/>
                <w:shd w:val="clear" w:color="auto" w:fill="FFFFFF"/>
              </w:rPr>
            </w:pPr>
            <w:r w:rsidRPr="00F83FB5">
              <w:rPr>
                <w:rFonts w:cs="Arial"/>
                <w:b/>
                <w:color w:val="000000" w:themeColor="text1"/>
                <w:sz w:val="20"/>
                <w:szCs w:val="20"/>
              </w:rPr>
              <w:t>ACCIONANTE:</w:t>
            </w:r>
            <w:r w:rsidRPr="00F83FB5">
              <w:rPr>
                <w:color w:val="000000" w:themeColor="text1"/>
                <w:sz w:val="20"/>
                <w:szCs w:val="20"/>
                <w:shd w:val="clear" w:color="auto" w:fill="FFFFFF"/>
              </w:rPr>
              <w:t xml:space="preserve"> Henry Acuña Cordero.</w:t>
            </w:r>
          </w:p>
          <w:p w:rsidR="005E5A0E" w:rsidRPr="00F83FB5" w:rsidRDefault="005E5A0E" w:rsidP="00CA1B11">
            <w:pPr>
              <w:rPr>
                <w:rFonts w:cs="Arial"/>
                <w:b/>
                <w:color w:val="000000" w:themeColor="text1"/>
                <w:sz w:val="20"/>
                <w:szCs w:val="20"/>
              </w:rPr>
            </w:pPr>
            <w:r w:rsidRPr="00F83FB5">
              <w:rPr>
                <w:rFonts w:cs="Arial"/>
                <w:b/>
                <w:color w:val="000000" w:themeColor="text1"/>
                <w:sz w:val="20"/>
                <w:szCs w:val="20"/>
              </w:rPr>
              <w:t xml:space="preserve">ACCIONADO: </w:t>
            </w:r>
            <w:r w:rsidRPr="00F83FB5">
              <w:rPr>
                <w:color w:val="000000" w:themeColor="text1"/>
                <w:sz w:val="20"/>
                <w:szCs w:val="20"/>
                <w:shd w:val="clear" w:color="auto" w:fill="FFFFFF"/>
              </w:rPr>
              <w:t>Personería Local de Fontibón, la Alcaldía Local de Fontibón, la Secretaría Distrital de Salud, el Centro de Zoonosis y la Secretaría Distrital de Ambiente de Bogotá.</w:t>
            </w:r>
          </w:p>
          <w:p w:rsidR="005E5A0E" w:rsidRPr="00F83FB5" w:rsidRDefault="005E5A0E" w:rsidP="00CA1B11">
            <w:pPr>
              <w:rPr>
                <w:rFonts w:cs="Arial"/>
                <w:b/>
                <w:color w:val="000000" w:themeColor="text1"/>
                <w:sz w:val="20"/>
                <w:szCs w:val="20"/>
              </w:rPr>
            </w:pPr>
            <w:r w:rsidRPr="00F83FB5">
              <w:rPr>
                <w:rFonts w:cs="Arial"/>
                <w:b/>
                <w:color w:val="000000" w:themeColor="text1"/>
                <w:sz w:val="20"/>
                <w:szCs w:val="20"/>
              </w:rPr>
              <w:t xml:space="preserve">REFERENCIA EXPEDIENTE: </w:t>
            </w:r>
            <w:r w:rsidRPr="00F83FB5">
              <w:rPr>
                <w:rFonts w:cs="Arial"/>
                <w:color w:val="000000" w:themeColor="text1"/>
                <w:sz w:val="20"/>
                <w:szCs w:val="20"/>
              </w:rPr>
              <w:t>T- 5.193.939.</w:t>
            </w:r>
          </w:p>
          <w:p w:rsidR="005E5A0E" w:rsidRPr="00F83FB5" w:rsidRDefault="005E5A0E" w:rsidP="00CA1B11">
            <w:pPr>
              <w:rPr>
                <w:rFonts w:cs="Arial"/>
                <w:color w:val="000000" w:themeColor="text1"/>
                <w:sz w:val="20"/>
                <w:szCs w:val="20"/>
              </w:rPr>
            </w:pPr>
            <w:r w:rsidRPr="00F83FB5">
              <w:rPr>
                <w:rFonts w:cs="Arial"/>
                <w:color w:val="000000" w:themeColor="text1"/>
                <w:sz w:val="20"/>
                <w:szCs w:val="20"/>
              </w:rPr>
              <w:t>Bogotá, D.C., veinticinco (25) de febrero de dos mil dieciséis (2016).</w:t>
            </w:r>
          </w:p>
        </w:tc>
      </w:tr>
      <w:tr w:rsidR="005E5A0E" w:rsidRPr="0057122D" w:rsidTr="00CA1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38" w:type="dxa"/>
          <w:trHeight w:val="450"/>
        </w:trPr>
        <w:tc>
          <w:tcPr>
            <w:tcW w:w="13838" w:type="dxa"/>
            <w:gridSpan w:val="5"/>
          </w:tcPr>
          <w:p w:rsidR="005E5A0E" w:rsidRPr="00F83FB5" w:rsidRDefault="005E5A0E" w:rsidP="00CA1B11">
            <w:pPr>
              <w:jc w:val="both"/>
              <w:rPr>
                <w:rFonts w:cs="Arial"/>
                <w:color w:val="000000" w:themeColor="text1"/>
                <w:sz w:val="20"/>
                <w:szCs w:val="20"/>
              </w:rPr>
            </w:pPr>
            <w:r w:rsidRPr="00F83FB5">
              <w:rPr>
                <w:rFonts w:cs="Arial"/>
                <w:b/>
                <w:color w:val="000000" w:themeColor="text1"/>
                <w:sz w:val="20"/>
                <w:szCs w:val="20"/>
              </w:rPr>
              <w:t>PROBLEMA JURIDICO:</w:t>
            </w:r>
            <w:r w:rsidRPr="00F83FB5">
              <w:rPr>
                <w:rFonts w:cs="Arial"/>
                <w:color w:val="000000" w:themeColor="text1"/>
                <w:sz w:val="20"/>
                <w:szCs w:val="20"/>
              </w:rPr>
              <w:t xml:space="preserve"> </w:t>
            </w:r>
            <w:r w:rsidRPr="00F83FB5">
              <w:rPr>
                <w:rFonts w:cs="Arial"/>
                <w:i/>
                <w:color w:val="000000" w:themeColor="text1"/>
                <w:sz w:val="20"/>
                <w:szCs w:val="20"/>
              </w:rPr>
              <w:t xml:space="preserve">El señor Henry Acuña Cordero interpuso acción de tutela contra la Personería Local de Fontibón, la Alcaldía Local de Fontibón, la Secretaría Distrital de Salud, el Centro Zoonosis y la Secretaría Distrital de Ambiente de Bogotá por considerar vulnerados sus derechos fundamentales de petición y bienestar animal. Las conductas que causan la vulneración son: (i) la decisión de las autoridades accionadas de ordenar un operativo de recogida de 25 perros ubicados en el Parque Ecológico Distrital del Humedal de Capellanía -localidad de Fontibón- y; (ii) la omisión de la Personería de Bogotá y la Alcaldía local de Fontibón de dar respuesta de fondo a la solicitud que busca financiamiento para el refugio, alimentación y asistencia médica de los canes. El ciudadano pretende que el juez de tutela ordene a las entidades accionadas que den respuesta de fondo al derecho de petición elevado y suministren recursos tanto económicos como técnicos para que se puedan salvar los animales, de manera que puedan ser reubicados y mantenerlos a salvo, sin que el Centro de Zoonosis asuma su cuidado.  </w:t>
            </w:r>
          </w:p>
        </w:tc>
      </w:tr>
      <w:tr w:rsidR="005E5A0E" w:rsidRPr="00BC5A7A" w:rsidTr="00CA1B11">
        <w:trPr>
          <w:trHeight w:val="654"/>
        </w:trPr>
        <w:tc>
          <w:tcPr>
            <w:tcW w:w="2411" w:type="dxa"/>
          </w:tcPr>
          <w:p w:rsidR="005E5A0E" w:rsidRPr="0057122D" w:rsidRDefault="005E5A0E" w:rsidP="00CA1B11">
            <w:pPr>
              <w:jc w:val="center"/>
              <w:rPr>
                <w:rFonts w:cs="Arial"/>
                <w:b/>
                <w:color w:val="000000" w:themeColor="text1"/>
                <w:sz w:val="20"/>
                <w:szCs w:val="20"/>
              </w:rPr>
            </w:pPr>
            <w:r w:rsidRPr="0057122D">
              <w:rPr>
                <w:rFonts w:cs="Arial"/>
                <w:b/>
                <w:color w:val="000000" w:themeColor="text1"/>
                <w:sz w:val="20"/>
                <w:szCs w:val="20"/>
              </w:rPr>
              <w:t>HECHOS</w:t>
            </w:r>
          </w:p>
        </w:tc>
        <w:tc>
          <w:tcPr>
            <w:tcW w:w="3755" w:type="dxa"/>
          </w:tcPr>
          <w:p w:rsidR="005E5A0E" w:rsidRPr="0057122D" w:rsidRDefault="005E5A0E" w:rsidP="00CA1B11">
            <w:pPr>
              <w:jc w:val="center"/>
              <w:rPr>
                <w:rFonts w:cs="Arial"/>
                <w:b/>
                <w:bCs/>
                <w:color w:val="000000" w:themeColor="text1"/>
                <w:sz w:val="20"/>
                <w:szCs w:val="20"/>
              </w:rPr>
            </w:pPr>
            <w:r w:rsidRPr="0057122D">
              <w:rPr>
                <w:rFonts w:cs="Arial"/>
                <w:b/>
                <w:bCs/>
                <w:color w:val="000000" w:themeColor="text1"/>
                <w:sz w:val="20"/>
                <w:szCs w:val="20"/>
              </w:rPr>
              <w:t>RESPUESTA DE LA PARTEACCIONADA.</w:t>
            </w:r>
          </w:p>
          <w:p w:rsidR="005E5A0E" w:rsidRPr="0057122D" w:rsidRDefault="005E5A0E" w:rsidP="00CA1B11">
            <w:pPr>
              <w:jc w:val="both"/>
              <w:rPr>
                <w:rFonts w:cs="Arial"/>
                <w:b/>
                <w:bCs/>
                <w:color w:val="000000" w:themeColor="text1"/>
                <w:sz w:val="20"/>
                <w:szCs w:val="20"/>
              </w:rPr>
            </w:pPr>
          </w:p>
        </w:tc>
        <w:tc>
          <w:tcPr>
            <w:tcW w:w="2890" w:type="dxa"/>
          </w:tcPr>
          <w:p w:rsidR="005E5A0E" w:rsidRPr="00F83FB5" w:rsidRDefault="005E5A0E" w:rsidP="00CA1B11">
            <w:pPr>
              <w:jc w:val="center"/>
              <w:rPr>
                <w:rFonts w:cs="Arial"/>
                <w:b/>
                <w:color w:val="000000" w:themeColor="text1"/>
                <w:sz w:val="20"/>
                <w:szCs w:val="20"/>
              </w:rPr>
            </w:pPr>
            <w:r w:rsidRPr="00F83FB5">
              <w:rPr>
                <w:rFonts w:cs="Arial"/>
                <w:b/>
                <w:color w:val="000000" w:themeColor="text1"/>
                <w:sz w:val="20"/>
                <w:szCs w:val="20"/>
              </w:rPr>
              <w:t>SENTENCIA DEL JUZGADO ONCE CIVIL MUNICIPAL DE BOGOTÁ, DEL 7 DE JULIO DE 2015</w:t>
            </w:r>
          </w:p>
        </w:tc>
        <w:tc>
          <w:tcPr>
            <w:tcW w:w="2977" w:type="dxa"/>
          </w:tcPr>
          <w:p w:rsidR="005E5A0E" w:rsidRPr="00F83FB5" w:rsidRDefault="005E5A0E" w:rsidP="00CA1B11">
            <w:pPr>
              <w:jc w:val="center"/>
              <w:rPr>
                <w:rFonts w:cs="Arial"/>
                <w:color w:val="000000" w:themeColor="text1"/>
                <w:sz w:val="20"/>
                <w:szCs w:val="20"/>
              </w:rPr>
            </w:pPr>
            <w:r w:rsidRPr="00F83FB5">
              <w:rPr>
                <w:rFonts w:cs="Arial"/>
                <w:b/>
                <w:bCs/>
                <w:color w:val="000000" w:themeColor="text1"/>
                <w:sz w:val="20"/>
                <w:szCs w:val="20"/>
              </w:rPr>
              <w:t>CONSIDERACIONES DE LA CORTE CONSTITUCIONAL</w:t>
            </w:r>
          </w:p>
        </w:tc>
        <w:tc>
          <w:tcPr>
            <w:tcW w:w="1843" w:type="dxa"/>
            <w:gridSpan w:val="2"/>
          </w:tcPr>
          <w:p w:rsidR="005E5A0E" w:rsidRPr="0057122D" w:rsidRDefault="005E5A0E" w:rsidP="00CA1B11">
            <w:pPr>
              <w:jc w:val="center"/>
              <w:rPr>
                <w:rFonts w:cs="Arial"/>
                <w:b/>
                <w:color w:val="000000" w:themeColor="text1"/>
                <w:sz w:val="20"/>
                <w:szCs w:val="20"/>
              </w:rPr>
            </w:pPr>
            <w:r w:rsidRPr="0057122D">
              <w:rPr>
                <w:rFonts w:cs="Arial"/>
                <w:b/>
                <w:color w:val="000000" w:themeColor="text1"/>
                <w:sz w:val="20"/>
                <w:szCs w:val="20"/>
              </w:rPr>
              <w:t>FALLO</w:t>
            </w:r>
          </w:p>
        </w:tc>
      </w:tr>
      <w:tr w:rsidR="005E5A0E" w:rsidRPr="0057122D" w:rsidTr="00CA1B11">
        <w:trPr>
          <w:trHeight w:val="4420"/>
        </w:trPr>
        <w:tc>
          <w:tcPr>
            <w:tcW w:w="2411" w:type="dxa"/>
          </w:tcPr>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lastRenderedPageBreak/>
              <w:t xml:space="preserve">Informó el accionante que hay 25 caninos viviendo en el Parque Ecológico Distrital del humedal de Capellanía, localidad de Fontibón, los cuales han sido alimentados y cuidados por un grupo de voluntarios del conjunto residencial Paseo de San Diego. Manifestó que los perros viven en un “estado </w:t>
            </w:r>
            <w:proofErr w:type="spellStart"/>
            <w:r w:rsidRPr="0057122D">
              <w:rPr>
                <w:rFonts w:cs="Arial"/>
                <w:i/>
                <w:color w:val="000000" w:themeColor="text1"/>
                <w:sz w:val="20"/>
                <w:szCs w:val="20"/>
              </w:rPr>
              <w:t>semi</w:t>
            </w:r>
            <w:proofErr w:type="spellEnd"/>
            <w:r w:rsidRPr="0057122D">
              <w:rPr>
                <w:rFonts w:cs="Arial"/>
                <w:i/>
                <w:color w:val="000000" w:themeColor="text1"/>
                <w:sz w:val="20"/>
                <w:szCs w:val="20"/>
              </w:rPr>
              <w:t xml:space="preserve"> salvaje”, lo que ha dificultado que los atrapen para poder cástralos o realizarles algún tipo de tratamiento veterinario.</w:t>
            </w:r>
          </w:p>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t xml:space="preserve"> </w:t>
            </w:r>
          </w:p>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t xml:space="preserve">El 3 de marzo de 2015, el accionante solicitó a la Personería de Bogotá, por medio de una petición, la colaboración inmediata para reubicar o construir un refugio en San Roque de Subachoque para los 25 perros que habitan en el humedal de </w:t>
            </w:r>
            <w:proofErr w:type="spellStart"/>
            <w:r w:rsidRPr="0057122D">
              <w:rPr>
                <w:rFonts w:cs="Arial"/>
                <w:i/>
                <w:color w:val="000000" w:themeColor="text1"/>
                <w:sz w:val="20"/>
                <w:szCs w:val="20"/>
              </w:rPr>
              <w:t>Capellenía</w:t>
            </w:r>
            <w:proofErr w:type="spellEnd"/>
            <w:r w:rsidRPr="0057122D">
              <w:rPr>
                <w:rFonts w:cs="Arial"/>
                <w:i/>
                <w:color w:val="000000" w:themeColor="text1"/>
                <w:sz w:val="20"/>
                <w:szCs w:val="20"/>
              </w:rPr>
              <w:t>, pues éste sería cerrado</w:t>
            </w:r>
          </w:p>
          <w:p w:rsidR="005E5A0E" w:rsidRPr="0057122D" w:rsidRDefault="005E5A0E" w:rsidP="00CA1B11">
            <w:pPr>
              <w:jc w:val="both"/>
              <w:rPr>
                <w:rFonts w:cs="Arial"/>
                <w:i/>
                <w:color w:val="000000" w:themeColor="text1"/>
                <w:sz w:val="20"/>
                <w:szCs w:val="20"/>
              </w:rPr>
            </w:pPr>
          </w:p>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t xml:space="preserve"> El 26 de marzo de 2015, la Subdirectora de Determinantes en Salud de la Alcaldía Mayor de Bogotá informó que el operativo de recogida programada para el día siguiente no sería realizado porque requerían que entidades como la Alcaldía Local de Fontibón y la Secretaría Distrital de Ambiente, al </w:t>
            </w:r>
            <w:proofErr w:type="gramStart"/>
            <w:r w:rsidRPr="0057122D">
              <w:rPr>
                <w:rFonts w:cs="Arial"/>
                <w:i/>
                <w:color w:val="000000" w:themeColor="text1"/>
                <w:sz w:val="20"/>
                <w:szCs w:val="20"/>
              </w:rPr>
              <w:t>ser  entidades</w:t>
            </w:r>
            <w:proofErr w:type="gramEnd"/>
            <w:r w:rsidRPr="0057122D">
              <w:rPr>
                <w:rFonts w:cs="Arial"/>
                <w:i/>
                <w:color w:val="000000" w:themeColor="text1"/>
                <w:sz w:val="20"/>
                <w:szCs w:val="20"/>
              </w:rPr>
              <w:t xml:space="preserve"> encargadas de ese tipo de procedimientos, estuvieran presentes.</w:t>
            </w:r>
          </w:p>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t xml:space="preserve"> </w:t>
            </w:r>
          </w:p>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t xml:space="preserve">Sostuvo el actor </w:t>
            </w:r>
            <w:proofErr w:type="gramStart"/>
            <w:r w:rsidRPr="0057122D">
              <w:rPr>
                <w:rFonts w:cs="Arial"/>
                <w:i/>
                <w:color w:val="000000" w:themeColor="text1"/>
                <w:sz w:val="20"/>
                <w:szCs w:val="20"/>
              </w:rPr>
              <w:t>que</w:t>
            </w:r>
            <w:proofErr w:type="gramEnd"/>
            <w:r w:rsidRPr="0057122D">
              <w:rPr>
                <w:rFonts w:cs="Arial"/>
                <w:i/>
                <w:color w:val="000000" w:themeColor="text1"/>
                <w:sz w:val="20"/>
                <w:szCs w:val="20"/>
              </w:rPr>
              <w:t xml:space="preserve"> en los operativos de recolección de perros realizados por el Centro de Zoonosis, los canes se clasifican entre enfermos y sanos; aquellos que estén enfermos serán sacrificados mientras que los otros, después de cinco días, serán puestos en un proceso de adopción. Si no </w:t>
            </w:r>
            <w:r w:rsidRPr="0057122D">
              <w:rPr>
                <w:rFonts w:cs="Arial"/>
                <w:i/>
                <w:color w:val="000000" w:themeColor="text1"/>
                <w:sz w:val="20"/>
                <w:szCs w:val="20"/>
              </w:rPr>
              <w:lastRenderedPageBreak/>
              <w:t>lo hacen también serán sacrificados.</w:t>
            </w:r>
          </w:p>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t xml:space="preserve"> </w:t>
            </w:r>
          </w:p>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t>Afirmó que la señora Clara Inés Rodríguez es una líder que ha estado al frente de todo el proceso de cuidado de los animales y ha adelantado las gestiones necesarias ante la Alcaldía y la Personería para su cuidado. Empero la respuesta de las mismas, siempre ha sido que no hay recursos y que Zoonosis tampoco cuenta con medios técnicos para anestesiar, dormir o transportar a los perros pues para esa gestión se requiere recursos técnicos de los cuales carecen, tales como dardos.</w:t>
            </w:r>
          </w:p>
          <w:p w:rsidR="005E5A0E" w:rsidRPr="0057122D" w:rsidRDefault="005E5A0E" w:rsidP="00CA1B11">
            <w:pPr>
              <w:jc w:val="both"/>
              <w:rPr>
                <w:rFonts w:cs="Arial"/>
                <w:i/>
                <w:color w:val="000000" w:themeColor="text1"/>
                <w:sz w:val="20"/>
                <w:szCs w:val="20"/>
              </w:rPr>
            </w:pPr>
            <w:r w:rsidRPr="0057122D">
              <w:rPr>
                <w:rFonts w:cs="Arial"/>
                <w:i/>
                <w:color w:val="000000" w:themeColor="text1"/>
                <w:sz w:val="20"/>
                <w:szCs w:val="20"/>
              </w:rPr>
              <w:t xml:space="preserve"> </w:t>
            </w:r>
          </w:p>
          <w:p w:rsidR="005E5A0E" w:rsidRPr="0057122D" w:rsidRDefault="005E5A0E" w:rsidP="00CA1B11">
            <w:pPr>
              <w:jc w:val="both"/>
              <w:rPr>
                <w:rFonts w:cs="Arial"/>
                <w:i/>
                <w:color w:val="000000" w:themeColor="text1"/>
                <w:sz w:val="20"/>
                <w:szCs w:val="20"/>
              </w:rPr>
            </w:pPr>
          </w:p>
        </w:tc>
        <w:tc>
          <w:tcPr>
            <w:tcW w:w="3755" w:type="dxa"/>
          </w:tcPr>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lastRenderedPageBreak/>
              <w:t> La Dirección de Salud Pública de la Secretaría de Salud de Bogotá, manifestó que el humedal de Capellanía se encuentra en proceso de recuperación por parte del Distrito, pero ha sido apropiado por caninos que están al cuidado de los vecinos aledaños al sector, proveyendo cuidado veterinario, alimentación, desparasitación y esterilización. Informó que el Centro de Zoonosis ha actuado dentro de las competencias otorgadas en la Ley 9 de 1979, Decreto 2257 de 1986 y la Resolución 0240 de 2015.</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 </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Por otro lado, sostuvo que el Centro de Zoonosis ha realizado cuatro actividades de recolección canina selectiva y humanitaria en el humedal Capellanía, las cuales han sido obstaculizadas por la desinformación de los vecinos del sector, quienes se interponen de manera abrupta para que no se realicen las capturas.  Informó que se han realizado seis mesas de trabajo y un operativo de recolección, el 27 de marzo de 2015, con la participación de la Alcaldía Local, Secretaría de Ambiente, Hospital de Fontibón, Inspección de Policía, Secretaría de Gobierno, Aguas de Bogotá y el Jardín Botánico; en el que se logró la entrega voluntaria de un </w:t>
            </w:r>
            <w:r w:rsidRPr="0057122D">
              <w:rPr>
                <w:rFonts w:cs="Arial"/>
                <w:bCs/>
                <w:i/>
                <w:color w:val="000000" w:themeColor="text1"/>
                <w:sz w:val="20"/>
                <w:szCs w:val="20"/>
              </w:rPr>
              <w:lastRenderedPageBreak/>
              <w:t xml:space="preserve">canino y los restantes huyeron del sector. Asimismo, el 16 de junio se realizó una mesa de trabajo en la que se acordó que el método de captura de los caninos sería menos invasivo y traumático, por lo cual el Jardín Botánico, Aguas de Bogotá y la Secretaría de Ambiente, se encuentran en la consecución de los elementos necesarios para la elaboración de un corral-trampa que permita innovar el método de </w:t>
            </w:r>
            <w:r>
              <w:rPr>
                <w:rFonts w:cs="Arial"/>
                <w:bCs/>
                <w:i/>
                <w:color w:val="000000" w:themeColor="text1"/>
                <w:sz w:val="20"/>
                <w:szCs w:val="20"/>
              </w:rPr>
              <w:t>captura</w:t>
            </w:r>
            <w:r w:rsidRPr="0057122D">
              <w:rPr>
                <w:rFonts w:cs="Arial"/>
                <w:bCs/>
                <w:i/>
                <w:color w:val="000000" w:themeColor="text1"/>
                <w:sz w:val="20"/>
                <w:szCs w:val="20"/>
              </w:rPr>
              <w:t>.</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 </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9. La Directora de la Secretaría Distrital de Ambiente de Bogotá, señaló que la petición elevada por el accionante fue respondida de manera oportuna e integral por parte de la Personería Delegada para la protección de ambiente y, por tanto, no se ha vulnerado derecho fundamental alguno. Sin embargo, informó que de acuerdo con la Resolución 240 del 17 de enero de 2014, los operativos de recolección de caninos “pueden ser acompañadas por los representantes de las organizaciones defensoras de animales, Alcaldía Local, Policía Ecológica y Ambiental y la Secretaria Distrital de Ambiente, estando asignada la Secretaria Distrital de Salud la función de cuidado, sanidad y demás necesarias para el bienestar de los caninos” y dicha función a la luz de la mencionada </w:t>
            </w:r>
            <w:r w:rsidRPr="0057122D">
              <w:rPr>
                <w:rFonts w:cs="Arial"/>
                <w:bCs/>
                <w:i/>
                <w:color w:val="000000" w:themeColor="text1"/>
                <w:sz w:val="20"/>
                <w:szCs w:val="20"/>
              </w:rPr>
              <w:lastRenderedPageBreak/>
              <w:t>resolución, es responsabilidad de la Secretaría de Salud.</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 </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La Personería de Bogotá indicó que dio respuesta a la petición elevada por el accionante por medio de oficio del 13 de marzo de 2015 a su vez que, a la petición radicada el 4 de abril, también se ofreció respuesta telefónicamente.  Advirtió que la pretensión del accionante frente a la Personería consiste en la intervención de ésta en los operativos de recolección de animales, programado para capturar y presuntamente sacrificar 25 perros no domesticados que habitan en el humedal de Capellanía. Sin embargo, informó que el Centro de Zoonosis es la autoridad competente para evaluar las condiciones en las que se encuentran los animales y determinar el riesgo que representan para la comunidad, pues se trata de un asunto de salubridad pública, siendo ellos los llamados a establecer cuál procedimiento se debe realizar frente a los caninos que invaden el humedal. </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 </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Advirtió que lo solicitado por el accionante no se encuentra dentro del marco de competencias de la Personería pues sus </w:t>
            </w:r>
            <w:r w:rsidRPr="0057122D">
              <w:rPr>
                <w:rFonts w:cs="Arial"/>
                <w:bCs/>
                <w:i/>
                <w:color w:val="000000" w:themeColor="text1"/>
                <w:sz w:val="20"/>
                <w:szCs w:val="20"/>
              </w:rPr>
              <w:lastRenderedPageBreak/>
              <w:t>potestades se circunscriben a la defensa del interés público y colectivo de los bogotanos, en la verificación constante de la ejecución de las leyes, acuerdos y órdenes de las autoridades y en la función de control disciplinario. Concluyó que no ha desplegado ninguna conducta que vulnere los derechos fundamentales del accionante, porque ha adelantado las actuaciones necesarias en el marco de sus competencias.</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 </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El Fondo de Desarrollo Local de Fontibón manifestó no ser competente para decidir sobre la vida, sacrificio o destino de animales, ni sobre su reubicación. Mencionó que a la luz del artículo 17 de la Ley 84 de 1989 no corresponde a las alcaldías locales realizar control sobre los procedimientos que inicie el Centro </w:t>
            </w:r>
            <w:proofErr w:type="gramStart"/>
            <w:r w:rsidRPr="0057122D">
              <w:rPr>
                <w:rFonts w:cs="Arial"/>
                <w:bCs/>
                <w:i/>
                <w:color w:val="000000" w:themeColor="text1"/>
                <w:sz w:val="20"/>
                <w:szCs w:val="20"/>
              </w:rPr>
              <w:t>de  Zoonosis</w:t>
            </w:r>
            <w:proofErr w:type="gramEnd"/>
            <w:r w:rsidRPr="0057122D">
              <w:rPr>
                <w:rFonts w:cs="Arial"/>
                <w:bCs/>
                <w:i/>
                <w:color w:val="000000" w:themeColor="text1"/>
                <w:sz w:val="20"/>
                <w:szCs w:val="20"/>
              </w:rPr>
              <w:t>. Sostuvo que el espacio que está siendo ocupado por los caninos es considerado como público y es propiedad del Distrito, siendo responsabilidad de las alcaldías locales velar por la conservación y recuperación del espacio público.</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 </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Informó que mediante sentencia del 26 de junio de 2014, el Tribunal Administrativo de </w:t>
            </w:r>
            <w:r w:rsidRPr="0057122D">
              <w:rPr>
                <w:rFonts w:cs="Arial"/>
                <w:bCs/>
                <w:i/>
                <w:color w:val="000000" w:themeColor="text1"/>
                <w:sz w:val="20"/>
                <w:szCs w:val="20"/>
              </w:rPr>
              <w:lastRenderedPageBreak/>
              <w:t xml:space="preserve">Cundinamarca, en una acción popular, confirmó la decisión de cerramiento definitivo del humedal Capellanía por parte de la Empresa de Acueducto y Alcantarillado de Bogotá, para no permitir el ingreso de personas o animales ajenos al </w:t>
            </w:r>
            <w:proofErr w:type="gramStart"/>
            <w:r w:rsidRPr="0057122D">
              <w:rPr>
                <w:rFonts w:cs="Arial"/>
                <w:bCs/>
                <w:i/>
                <w:color w:val="000000" w:themeColor="text1"/>
                <w:sz w:val="20"/>
                <w:szCs w:val="20"/>
              </w:rPr>
              <w:t>ecosistema[</w:t>
            </w:r>
            <w:proofErr w:type="gramEnd"/>
            <w:r w:rsidRPr="0057122D">
              <w:rPr>
                <w:rFonts w:cs="Arial"/>
                <w:bCs/>
                <w:i/>
                <w:color w:val="000000" w:themeColor="text1"/>
                <w:sz w:val="20"/>
                <w:szCs w:val="20"/>
              </w:rPr>
              <w:t>8]. Concluyó que dicha entidad no ha vulnerado derecho fundamental alguno, puesto que la decisión administrativa se encaminó a la recuperación del espacio público, que es función de la alcaldía local, mientras que ésta no es competente para reubicar los perros que se encuentran al interior del humedal. Informó que el 27 de marzo de 2015, día en el cual se había planeado la captura interinstitucional de los caninos, solo fue capturado uno, porque la comunidad saboteo la jornada.</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 </w:t>
            </w:r>
          </w:p>
          <w:p w:rsidR="005E5A0E" w:rsidRPr="0057122D" w:rsidRDefault="005E5A0E" w:rsidP="00CA1B11">
            <w:pPr>
              <w:jc w:val="both"/>
              <w:rPr>
                <w:rFonts w:cs="Arial"/>
                <w:bCs/>
                <w:i/>
                <w:color w:val="000000" w:themeColor="text1"/>
                <w:sz w:val="20"/>
                <w:szCs w:val="20"/>
              </w:rPr>
            </w:pPr>
            <w:r w:rsidRPr="0057122D">
              <w:rPr>
                <w:rFonts w:cs="Arial"/>
                <w:bCs/>
                <w:i/>
                <w:color w:val="000000" w:themeColor="text1"/>
                <w:sz w:val="20"/>
                <w:szCs w:val="20"/>
              </w:rPr>
              <w:t xml:space="preserve">La Subsecretaría Distrital de Gobierno de la Alcaldía Local de Fontibón solicitó declarar la improcedencia de la acción de tutela pues no se cumple con el requisito de subsidiariedad, en la medida en que la alcaldía ha realizado todas las actuaciones administrativas tendientes a la protección de los derechos fundamentales, dando respuesta oportuna y de fondo a la petición y adoptando las decisiones administrativas encaminadas a la </w:t>
            </w:r>
            <w:r w:rsidRPr="0057122D">
              <w:rPr>
                <w:rFonts w:cs="Arial"/>
                <w:bCs/>
                <w:i/>
                <w:color w:val="000000" w:themeColor="text1"/>
                <w:sz w:val="20"/>
                <w:szCs w:val="20"/>
              </w:rPr>
              <w:lastRenderedPageBreak/>
              <w:t>recuperación del espacio público del humedal de Capellanía.  Manifestó que la alcaldía tiene el deber de velar por la conservación del espacio público, a la luz del artículo 193 del Acuerdo Distrital 079 de 2003 y de los artículos 193 y 315 de la Constitución, pues corresponde a los alcaldes como primera autoridad de policía, velar por la recuperación y preservación del espacio público; mientras que ninguna norma faculta u obliga a las alcaldías locales a reubicar animales, ni proveer recursos económicos para ello.</w:t>
            </w:r>
          </w:p>
          <w:p w:rsidR="005E5A0E" w:rsidRPr="0057122D" w:rsidRDefault="005E5A0E" w:rsidP="00CA1B11">
            <w:pPr>
              <w:jc w:val="both"/>
              <w:rPr>
                <w:rFonts w:cs="Arial"/>
                <w:i/>
                <w:color w:val="000000" w:themeColor="text1"/>
                <w:sz w:val="20"/>
                <w:szCs w:val="20"/>
              </w:rPr>
            </w:pPr>
          </w:p>
          <w:p w:rsidR="005E5A0E" w:rsidRPr="0057122D" w:rsidRDefault="005E5A0E" w:rsidP="00CA1B11">
            <w:pPr>
              <w:jc w:val="both"/>
              <w:rPr>
                <w:rFonts w:cs="Arial"/>
                <w:sz w:val="20"/>
                <w:szCs w:val="20"/>
              </w:rPr>
            </w:pPr>
          </w:p>
        </w:tc>
        <w:tc>
          <w:tcPr>
            <w:tcW w:w="2890" w:type="dxa"/>
          </w:tcPr>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lastRenderedPageBreak/>
              <w:t xml:space="preserve">Negó el amparo al estimar que las peticiones elevadas por el accionante fueron contestadas de manera oportuna y de fondo. Por otro lado, estimó que la tutela está diseñada para proteger derechos fundamentales y no de rango legal. Sostuvo </w:t>
            </w:r>
            <w:proofErr w:type="gramStart"/>
            <w:r w:rsidRPr="00F83FB5">
              <w:rPr>
                <w:rFonts w:cs="Arial"/>
                <w:i/>
                <w:color w:val="000000" w:themeColor="text1"/>
                <w:sz w:val="20"/>
                <w:szCs w:val="20"/>
              </w:rPr>
              <w:t>que</w:t>
            </w:r>
            <w:proofErr w:type="gramEnd"/>
            <w:r w:rsidRPr="00F83FB5">
              <w:rPr>
                <w:rFonts w:cs="Arial"/>
                <w:i/>
                <w:color w:val="000000" w:themeColor="text1"/>
                <w:sz w:val="20"/>
                <w:szCs w:val="20"/>
              </w:rPr>
              <w:t xml:space="preserve"> aunque el actor afirmó en el escrito de tutela que presentó una nueva petición por vía telefónica, se omitió aportar la prueba correspondiente. No obstante, se conoce que se trata de la misma petición realizada el 3 de marzo de 2015 frente a la cual la Personería respondió en varias ocasiones y remitió las diligencias adelantadas para los resolver los hechos que reprocha el señor Henry Acuña sobre la situación de los perros que viven en el humedal Capellanía. Por lo tanto, la pretensión del accionante respecto de dar respuesta a los derechos de petición elevados fue satisfecha. </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 xml:space="preserve"> </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lastRenderedPageBreak/>
              <w:t>Por otro lado, advirtió que la situación de los canes que habitan el humedal, es un problema ambiental que no puede ser debatido por vía tutela por cuanto el accionante cuenta con los mecanismos judiciales y ciudadanos para tener una participación activa en la solución de conflictos que afectan su localidad, de manera personal o mediante representación -veedurías ciudadanas-, razón por la cual la acción de tutela no es procedente porque no existe conexidad entre la afectación del derecho al medio ambiente y el de petición.</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 xml:space="preserve"> </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 xml:space="preserve">Concluyó que en expediente obran medios de prueba en los que se infiere que la administración distrital está trabajando mancomunadamente con la comunidad para recuperar el humedal Capellanía y dar una solución al tema de los animales que allí habitan, “razón por lo cual este despacho no puede acceder a </w:t>
            </w:r>
            <w:r w:rsidRPr="00F83FB5">
              <w:rPr>
                <w:rFonts w:cs="Arial"/>
                <w:i/>
                <w:color w:val="000000" w:themeColor="text1"/>
                <w:sz w:val="20"/>
                <w:szCs w:val="20"/>
              </w:rPr>
              <w:lastRenderedPageBreak/>
              <w:t xml:space="preserve">las pretensiones de la acción constitucional,” por lo cual decidió “negar la acción de tutela impetrada por Henry Acuña (…) conforme a las razones anotadas en la parte motiva de esta providencia”. </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 xml:space="preserve"> </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IMPUGNACIÓN:</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 xml:space="preserve"> </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El accionante impugnó la decisión del a quo, reiterando que la Personería no ha dado respuesta a la petición escrita formulada el 3 de marzo de 2015, ni ha desplegado conductas tendientes a proveer una protección del derecho a la vida de los animales, quienes no tienen forma de ser representados.  Para ello, solicitó que los animales fueran reubicados en un resguardo en el cual les provean todas las necesidades vitales como vacunación, esterilización y alimentación.</w:t>
            </w:r>
          </w:p>
          <w:p w:rsidR="005E5A0E" w:rsidRPr="00F83FB5" w:rsidRDefault="005E5A0E" w:rsidP="00CA1B11">
            <w:pPr>
              <w:jc w:val="both"/>
              <w:rPr>
                <w:rFonts w:cs="Arial"/>
                <w:b/>
                <w:i/>
                <w:color w:val="000000" w:themeColor="text1"/>
                <w:sz w:val="20"/>
                <w:szCs w:val="20"/>
              </w:rPr>
            </w:pPr>
            <w:r w:rsidRPr="00F83FB5">
              <w:rPr>
                <w:rFonts w:cs="Arial"/>
                <w:i/>
                <w:color w:val="000000" w:themeColor="text1"/>
                <w:sz w:val="20"/>
                <w:szCs w:val="20"/>
              </w:rPr>
              <w:t xml:space="preserve"> </w:t>
            </w:r>
          </w:p>
          <w:p w:rsidR="005E5A0E" w:rsidRPr="00F83FB5" w:rsidRDefault="005E5A0E" w:rsidP="00CA1B11">
            <w:pPr>
              <w:jc w:val="both"/>
              <w:rPr>
                <w:rFonts w:cs="Arial"/>
                <w:b/>
                <w:i/>
                <w:color w:val="000000" w:themeColor="text1"/>
                <w:sz w:val="20"/>
                <w:szCs w:val="20"/>
              </w:rPr>
            </w:pPr>
            <w:r w:rsidRPr="00F83FB5">
              <w:rPr>
                <w:rFonts w:cs="Arial"/>
                <w:b/>
                <w:i/>
                <w:color w:val="000000" w:themeColor="text1"/>
                <w:sz w:val="20"/>
                <w:szCs w:val="20"/>
              </w:rPr>
              <w:lastRenderedPageBreak/>
              <w:t>Segunda instancia. Sentencia del Juzgado Veintisiete Civil del Circuito de Bogotá, del 26 de agosto de 2015.</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 xml:space="preserve"> </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Decidió “confirmar el fallo de tutela proferido por el Juzgado Once Civil Municipal”. Sostuvo que la acción de tutela no es procedente para solicitar la garantía de derechos de rango legal, ni para hacer cumplir leyes, decretos, normas o actos administrativos. Por otra parte, consideró que el derecho de petición no fue vulnerado, en la medida en que las entidades accionadas dieron respuesta oportuna y de fondo a las solicitudes elevadas por el señor Acuña.</w:t>
            </w:r>
          </w:p>
        </w:tc>
        <w:tc>
          <w:tcPr>
            <w:tcW w:w="2977" w:type="dxa"/>
          </w:tcPr>
          <w:p w:rsidR="005E5A0E" w:rsidRPr="00F83FB5" w:rsidRDefault="005E5A0E" w:rsidP="00CA1B11">
            <w:pPr>
              <w:shd w:val="clear" w:color="auto" w:fill="FFFFFF"/>
              <w:jc w:val="both"/>
              <w:textAlignment w:val="baseline"/>
              <w:rPr>
                <w:rFonts w:eastAsia="Times New Roman" w:cs="Times New Roman"/>
                <w:i/>
                <w:color w:val="2D2D2D"/>
                <w:sz w:val="20"/>
                <w:szCs w:val="20"/>
              </w:rPr>
            </w:pPr>
            <w:r w:rsidRPr="00F83FB5">
              <w:rPr>
                <w:rFonts w:eastAsia="Times New Roman" w:cs="Times New Roman"/>
                <w:i/>
                <w:color w:val="2D2D2D"/>
                <w:sz w:val="20"/>
                <w:szCs w:val="20"/>
                <w:bdr w:val="none" w:sz="0" w:space="0" w:color="auto" w:frame="1"/>
                <w:lang w:val="es-ES_tradnl"/>
              </w:rPr>
              <w:lastRenderedPageBreak/>
              <w:t>La Sala concluye que las actuaciones de las entidades accionadas se encuentran conformes al deber constitucional de protección animal y del derecho de petición, por lo cual se confirmarán las decisiones de instancia de negar el amparo del derecho de petición y declarar la improcedencia de la acción de tutela para proteger el bienestar animal.</w:t>
            </w:r>
          </w:p>
          <w:p w:rsidR="005E5A0E" w:rsidRPr="0057122D" w:rsidRDefault="005E5A0E" w:rsidP="00CA1B11">
            <w:pPr>
              <w:shd w:val="clear" w:color="auto" w:fill="FFFFFF"/>
              <w:jc w:val="both"/>
              <w:textAlignment w:val="baseline"/>
              <w:rPr>
                <w:rFonts w:eastAsia="Times New Roman" w:cs="Times New Roman"/>
                <w:i/>
                <w:color w:val="2D2D2D"/>
                <w:sz w:val="20"/>
                <w:szCs w:val="20"/>
              </w:rPr>
            </w:pPr>
            <w:r w:rsidRPr="0057122D">
              <w:rPr>
                <w:rFonts w:eastAsia="Times New Roman" w:cs="Times New Roman"/>
                <w:i/>
                <w:color w:val="2D2D2D"/>
                <w:sz w:val="20"/>
                <w:szCs w:val="20"/>
                <w:bdr w:val="none" w:sz="0" w:space="0" w:color="auto" w:frame="1"/>
                <w:lang w:val="es-ES_tradnl"/>
              </w:rPr>
              <w:t> </w:t>
            </w:r>
          </w:p>
          <w:p w:rsidR="005E5A0E" w:rsidRPr="0057122D" w:rsidRDefault="005E5A0E" w:rsidP="00CA1B11">
            <w:pPr>
              <w:shd w:val="clear" w:color="auto" w:fill="FFFFFF"/>
              <w:jc w:val="both"/>
              <w:textAlignment w:val="baseline"/>
              <w:rPr>
                <w:rFonts w:eastAsia="Times New Roman" w:cs="Times New Roman"/>
                <w:i/>
                <w:color w:val="2D2D2D"/>
                <w:sz w:val="20"/>
                <w:szCs w:val="20"/>
              </w:rPr>
            </w:pPr>
            <w:r w:rsidRPr="0057122D">
              <w:rPr>
                <w:rFonts w:eastAsia="Times New Roman" w:cs="Times New Roman"/>
                <w:b/>
                <w:bCs/>
                <w:i/>
                <w:color w:val="2D2D2D"/>
                <w:sz w:val="20"/>
                <w:szCs w:val="20"/>
                <w:bdr w:val="none" w:sz="0" w:space="0" w:color="auto" w:frame="1"/>
              </w:rPr>
              <w:t>Decisión.</w:t>
            </w:r>
            <w:r w:rsidRPr="00F83FB5">
              <w:rPr>
                <w:rFonts w:eastAsia="Times New Roman" w:cs="Times New Roman"/>
                <w:i/>
                <w:color w:val="2D2D2D"/>
                <w:sz w:val="20"/>
                <w:szCs w:val="20"/>
                <w:bdr w:val="none" w:sz="0" w:space="0" w:color="auto" w:frame="1"/>
              </w:rPr>
              <w:t> </w:t>
            </w:r>
            <w:r w:rsidRPr="0057122D">
              <w:rPr>
                <w:rFonts w:eastAsia="Times New Roman" w:cs="Times New Roman"/>
                <w:i/>
                <w:color w:val="2D2D2D"/>
                <w:sz w:val="20"/>
                <w:szCs w:val="20"/>
                <w:bdr w:val="none" w:sz="0" w:space="0" w:color="auto" w:frame="1"/>
                <w:shd w:val="clear" w:color="auto" w:fill="FFFFFF"/>
              </w:rPr>
              <w:t>La Corte</w:t>
            </w:r>
            <w:r w:rsidRPr="00F83FB5">
              <w:rPr>
                <w:rFonts w:eastAsia="Times New Roman" w:cs="Times New Roman"/>
                <w:i/>
                <w:color w:val="2D2D2D"/>
                <w:sz w:val="20"/>
                <w:szCs w:val="20"/>
                <w:bdr w:val="none" w:sz="0" w:space="0" w:color="auto" w:frame="1"/>
                <w:shd w:val="clear" w:color="auto" w:fill="FFFFFF"/>
              </w:rPr>
              <w:t> </w:t>
            </w:r>
            <w:r w:rsidRPr="0057122D">
              <w:rPr>
                <w:rFonts w:eastAsia="Times New Roman" w:cs="Times New Roman"/>
                <w:i/>
                <w:color w:val="2D2D2D"/>
                <w:sz w:val="20"/>
                <w:szCs w:val="20"/>
                <w:bdr w:val="none" w:sz="0" w:space="0" w:color="auto" w:frame="1"/>
                <w:shd w:val="clear" w:color="auto" w:fill="FFFFFF"/>
                <w:lang w:val="es-ES_tradnl"/>
              </w:rPr>
              <w:t>confirmará las decisiones de instancia que negaron el amparo del derecho de petición y declarar la improcedencia de la acción de tutela para proteger el bienestar animal.</w:t>
            </w:r>
          </w:p>
          <w:p w:rsidR="005E5A0E" w:rsidRPr="0057122D" w:rsidRDefault="005E5A0E" w:rsidP="00CA1B11">
            <w:pPr>
              <w:shd w:val="clear" w:color="auto" w:fill="FFFFFF"/>
              <w:jc w:val="both"/>
              <w:textAlignment w:val="baseline"/>
              <w:rPr>
                <w:rFonts w:eastAsia="Times New Roman" w:cs="Times New Roman"/>
                <w:i/>
                <w:color w:val="2D2D2D"/>
                <w:sz w:val="20"/>
                <w:szCs w:val="20"/>
              </w:rPr>
            </w:pPr>
            <w:r w:rsidRPr="0057122D">
              <w:rPr>
                <w:rFonts w:eastAsia="Times New Roman" w:cs="Times New Roman"/>
                <w:i/>
                <w:color w:val="2D2D2D"/>
                <w:sz w:val="20"/>
                <w:szCs w:val="20"/>
                <w:bdr w:val="none" w:sz="0" w:space="0" w:color="auto" w:frame="1"/>
                <w:shd w:val="clear" w:color="auto" w:fill="FFFFFF"/>
                <w:lang w:val="es-ES_tradnl"/>
              </w:rPr>
              <w:t> </w:t>
            </w:r>
          </w:p>
          <w:p w:rsidR="005E5A0E" w:rsidRPr="0057122D" w:rsidRDefault="005E5A0E" w:rsidP="00CA1B11">
            <w:pPr>
              <w:shd w:val="clear" w:color="auto" w:fill="FFFFFF"/>
              <w:jc w:val="both"/>
              <w:textAlignment w:val="baseline"/>
              <w:rPr>
                <w:rFonts w:eastAsia="Times New Roman" w:cs="Times New Roman"/>
                <w:i/>
                <w:color w:val="2D2D2D"/>
                <w:sz w:val="20"/>
                <w:szCs w:val="20"/>
              </w:rPr>
            </w:pPr>
            <w:r w:rsidRPr="0057122D">
              <w:rPr>
                <w:rFonts w:eastAsia="Times New Roman" w:cs="Times New Roman"/>
                <w:i/>
                <w:color w:val="2D2D2D"/>
                <w:sz w:val="20"/>
                <w:szCs w:val="20"/>
                <w:bdr w:val="none" w:sz="0" w:space="0" w:color="auto" w:frame="1"/>
                <w:lang w:val="es-ES_tradnl"/>
              </w:rPr>
              <w:t xml:space="preserve">Empero, se exhortará al Centro de Zoonosis y la Secretaría Distrital de Salud, que en el marco de sus competencias y especialmente las señaladas en la Resolución 0240 de 2014, en la realización de los operativos de recolección animal, </w:t>
            </w:r>
            <w:r w:rsidRPr="0057122D">
              <w:rPr>
                <w:rFonts w:eastAsia="Times New Roman" w:cs="Times New Roman"/>
                <w:i/>
                <w:color w:val="2D2D2D"/>
                <w:sz w:val="20"/>
                <w:szCs w:val="20"/>
                <w:bdr w:val="none" w:sz="0" w:space="0" w:color="auto" w:frame="1"/>
                <w:lang w:val="es-ES_tradnl"/>
              </w:rPr>
              <w:lastRenderedPageBreak/>
              <w:t>observe el deber constitucional de protección animal y las garantías establecidas en el Estatuto de Bienestar Animal y la Ley</w:t>
            </w:r>
            <w:r w:rsidRPr="00F83FB5">
              <w:rPr>
                <w:rFonts w:eastAsia="Times New Roman" w:cs="Times New Roman"/>
                <w:i/>
                <w:color w:val="2D2D2D"/>
                <w:sz w:val="20"/>
                <w:szCs w:val="20"/>
                <w:bdr w:val="none" w:sz="0" w:space="0" w:color="auto" w:frame="1"/>
                <w:lang w:val="es-ES_tradnl"/>
              </w:rPr>
              <w:t> </w:t>
            </w:r>
            <w:r w:rsidRPr="0057122D">
              <w:rPr>
                <w:rFonts w:eastAsia="Times New Roman" w:cs="Times New Roman"/>
                <w:i/>
                <w:color w:val="2D2D2D"/>
                <w:sz w:val="20"/>
                <w:szCs w:val="20"/>
                <w:bdr w:val="none" w:sz="0" w:space="0" w:color="auto" w:frame="1"/>
              </w:rPr>
              <w:t>1774 de 2016, teniendo la responsabilidad de evitar y sancionar el maltrato de los perros.</w:t>
            </w:r>
          </w:p>
          <w:p w:rsidR="005E5A0E" w:rsidRPr="0057122D" w:rsidRDefault="005E5A0E" w:rsidP="00CA1B11">
            <w:pPr>
              <w:shd w:val="clear" w:color="auto" w:fill="FFFFFF"/>
              <w:jc w:val="both"/>
              <w:textAlignment w:val="baseline"/>
              <w:rPr>
                <w:rFonts w:eastAsia="Times New Roman" w:cs="Times New Roman"/>
                <w:i/>
                <w:color w:val="2D2D2D"/>
                <w:sz w:val="20"/>
                <w:szCs w:val="20"/>
              </w:rPr>
            </w:pPr>
            <w:r w:rsidRPr="0057122D">
              <w:rPr>
                <w:rFonts w:eastAsia="Times New Roman" w:cs="Times New Roman"/>
                <w:i/>
                <w:color w:val="2D2D2D"/>
                <w:sz w:val="20"/>
                <w:szCs w:val="20"/>
                <w:bdr w:val="none" w:sz="0" w:space="0" w:color="auto" w:frame="1"/>
                <w:shd w:val="clear" w:color="auto" w:fill="FFFFFF"/>
                <w:lang w:val="es-ES_tradnl"/>
              </w:rPr>
              <w:t> </w:t>
            </w:r>
          </w:p>
          <w:p w:rsidR="005E5A0E" w:rsidRPr="0057122D" w:rsidRDefault="005E5A0E" w:rsidP="00CA1B11">
            <w:pPr>
              <w:shd w:val="clear" w:color="auto" w:fill="FFFFFF"/>
              <w:jc w:val="both"/>
              <w:textAlignment w:val="baseline"/>
              <w:rPr>
                <w:rFonts w:eastAsia="Times New Roman" w:cs="Times New Roman"/>
                <w:i/>
                <w:color w:val="2D2D2D"/>
                <w:sz w:val="20"/>
                <w:szCs w:val="20"/>
              </w:rPr>
            </w:pPr>
            <w:r w:rsidRPr="0057122D">
              <w:rPr>
                <w:rFonts w:eastAsia="Times New Roman" w:cs="Times New Roman"/>
                <w:b/>
                <w:bCs/>
                <w:i/>
                <w:color w:val="2D2D2D"/>
                <w:sz w:val="20"/>
                <w:szCs w:val="20"/>
                <w:bdr w:val="none" w:sz="0" w:space="0" w:color="auto" w:frame="1"/>
              </w:rPr>
              <w:t>Razón de la decisión.</w:t>
            </w:r>
            <w:r w:rsidRPr="00F83FB5">
              <w:rPr>
                <w:rFonts w:eastAsia="Times New Roman" w:cs="Times New Roman"/>
                <w:b/>
                <w:bCs/>
                <w:i/>
                <w:color w:val="2D2D2D"/>
                <w:sz w:val="20"/>
                <w:szCs w:val="20"/>
                <w:bdr w:val="none" w:sz="0" w:space="0" w:color="auto" w:frame="1"/>
              </w:rPr>
              <w:t> </w:t>
            </w:r>
            <w:r w:rsidRPr="0057122D">
              <w:rPr>
                <w:rFonts w:eastAsia="Times New Roman" w:cs="Times New Roman"/>
                <w:i/>
                <w:color w:val="2D2D2D"/>
                <w:sz w:val="20"/>
                <w:szCs w:val="20"/>
                <w:bdr w:val="none" w:sz="0" w:space="0" w:color="auto" w:frame="1"/>
              </w:rPr>
              <w:t xml:space="preserve">No se vulnera el derecho de petición cuando se suministra una respuesta oportuna y de fondo a las solicitudes elevadas ante la administración. Por otra parte, es improcedente la acción de tutela para la protección de bienestar animal, </w:t>
            </w:r>
            <w:proofErr w:type="gramStart"/>
            <w:r w:rsidRPr="0057122D">
              <w:rPr>
                <w:rFonts w:eastAsia="Times New Roman" w:cs="Times New Roman"/>
                <w:i/>
                <w:color w:val="2D2D2D"/>
                <w:sz w:val="20"/>
                <w:szCs w:val="20"/>
                <w:bdr w:val="none" w:sz="0" w:space="0" w:color="auto" w:frame="1"/>
              </w:rPr>
              <w:t>porque</w:t>
            </w:r>
            <w:proofErr w:type="gramEnd"/>
            <w:r w:rsidRPr="0057122D">
              <w:rPr>
                <w:rFonts w:eastAsia="Times New Roman" w:cs="Times New Roman"/>
                <w:i/>
                <w:color w:val="2D2D2D"/>
                <w:sz w:val="20"/>
                <w:szCs w:val="20"/>
                <w:bdr w:val="none" w:sz="0" w:space="0" w:color="auto" w:frame="1"/>
              </w:rPr>
              <w:t xml:space="preserve"> aunque exista un deber constitucional de protección de éste, no se extrae la existencia de un derecho fundamental en cabeza de los animales, ni su exigibilidad por medio de la acción de tutela, al tratarse de un interés difuso, no individualizable. Sin embargo, del deber de protección animal desencadenan una serie de obligaciones para los seres humanos de, entre otros, evitar el maltrato, la tortura o los actos de </w:t>
            </w:r>
            <w:r w:rsidRPr="0057122D">
              <w:rPr>
                <w:rFonts w:eastAsia="Times New Roman" w:cs="Times New Roman"/>
                <w:i/>
                <w:color w:val="2D2D2D"/>
                <w:sz w:val="20"/>
                <w:szCs w:val="20"/>
                <w:bdr w:val="none" w:sz="0" w:space="0" w:color="auto" w:frame="1"/>
              </w:rPr>
              <w:lastRenderedPageBreak/>
              <w:t>crueldad y velar por el cuidado de su integridad y vida con las excepciones previstas en la ley y en la jurisprudencia constitucional.</w:t>
            </w:r>
          </w:p>
          <w:p w:rsidR="005E5A0E" w:rsidRPr="0057122D" w:rsidRDefault="005E5A0E" w:rsidP="00CA1B11">
            <w:pPr>
              <w:shd w:val="clear" w:color="auto" w:fill="FFFFFF"/>
              <w:jc w:val="both"/>
              <w:textAlignment w:val="baseline"/>
              <w:rPr>
                <w:rFonts w:eastAsia="Times New Roman" w:cs="Times New Roman"/>
                <w:i/>
                <w:color w:val="2D2D2D"/>
                <w:sz w:val="20"/>
                <w:szCs w:val="20"/>
              </w:rPr>
            </w:pPr>
            <w:r w:rsidRPr="0057122D">
              <w:rPr>
                <w:rFonts w:eastAsia="Times New Roman" w:cs="Times New Roman"/>
                <w:i/>
                <w:color w:val="2D2D2D"/>
                <w:sz w:val="20"/>
                <w:szCs w:val="20"/>
                <w:bdr w:val="none" w:sz="0" w:space="0" w:color="auto" w:frame="1"/>
              </w:rPr>
              <w:t> </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La Sala concluye que las actuaciones de las entidades accionadas se encuentran conformes al deber constitucional de protección animal y del derecho de petición, por lo cual se confirmarán las decisiones de instancia de negar el amparo del derecho de petición y declarar la improcedencia de la acción de tutela para proteger el bienestar animal.</w:t>
            </w:r>
          </w:p>
          <w:p w:rsidR="005E5A0E" w:rsidRPr="00F83FB5" w:rsidRDefault="005E5A0E" w:rsidP="00CA1B11">
            <w:pPr>
              <w:jc w:val="both"/>
              <w:rPr>
                <w:rFonts w:cs="Arial"/>
                <w:i/>
                <w:color w:val="000000" w:themeColor="text1"/>
                <w:sz w:val="20"/>
                <w:szCs w:val="20"/>
              </w:rPr>
            </w:pPr>
            <w:r w:rsidRPr="00F83FB5">
              <w:rPr>
                <w:rFonts w:cs="Arial"/>
                <w:i/>
                <w:color w:val="000000" w:themeColor="text1"/>
                <w:sz w:val="20"/>
                <w:szCs w:val="20"/>
              </w:rPr>
              <w:t xml:space="preserve"> </w:t>
            </w:r>
          </w:p>
          <w:p w:rsidR="005E5A0E" w:rsidRPr="00F83FB5" w:rsidRDefault="005E5A0E" w:rsidP="00CA1B11">
            <w:pPr>
              <w:jc w:val="both"/>
              <w:rPr>
                <w:rFonts w:cs="Arial"/>
                <w:i/>
                <w:color w:val="000000" w:themeColor="text1"/>
                <w:sz w:val="20"/>
                <w:szCs w:val="20"/>
              </w:rPr>
            </w:pPr>
          </w:p>
        </w:tc>
        <w:tc>
          <w:tcPr>
            <w:tcW w:w="1843" w:type="dxa"/>
            <w:gridSpan w:val="2"/>
          </w:tcPr>
          <w:p w:rsidR="005E5A0E" w:rsidRPr="00BF4788" w:rsidRDefault="005E5A0E" w:rsidP="00CA1B11">
            <w:pPr>
              <w:jc w:val="both"/>
              <w:rPr>
                <w:rFonts w:eastAsia="Batang" w:cs="Arial"/>
                <w:i/>
                <w:color w:val="000000" w:themeColor="text1"/>
                <w:sz w:val="20"/>
                <w:szCs w:val="20"/>
              </w:rPr>
            </w:pPr>
            <w:r w:rsidRPr="00BF4788">
              <w:rPr>
                <w:rFonts w:eastAsia="Batang" w:cs="Arial"/>
                <w:i/>
                <w:color w:val="000000" w:themeColor="text1"/>
                <w:sz w:val="20"/>
                <w:szCs w:val="20"/>
              </w:rPr>
              <w:lastRenderedPageBreak/>
              <w:t xml:space="preserve">RIMERO.- CONFIRMAR la sentencia del Juzgado Veintisiete Civil del Circuito de Bogotá, del 26 de agosto de 2015 que confirmó la providencia del Juzgado Once Civil Municipal de Bogotá, del 7 de julio de 2015, que negó el amparo del derecho de petición y declaró improcedente la acción de tutela para la protección del derecho al bienestar animal, de conformidad con lo expuesto en esta providencia, en la acción de tutela interpuesta por el señor Henry Acuña Cordero contra la Personería Local de Fontibón, Alcaldía Local de Fontibón, la Secretaría Distrital </w:t>
            </w:r>
            <w:r w:rsidRPr="00BF4788">
              <w:rPr>
                <w:rFonts w:eastAsia="Batang" w:cs="Arial"/>
                <w:i/>
                <w:color w:val="000000" w:themeColor="text1"/>
                <w:sz w:val="20"/>
                <w:szCs w:val="20"/>
              </w:rPr>
              <w:lastRenderedPageBreak/>
              <w:t>de Salud, el Centro Zoonosis y la Secretaría Distrital de Ambiente de Bogotá.</w:t>
            </w:r>
          </w:p>
          <w:p w:rsidR="005E5A0E" w:rsidRPr="00BF4788" w:rsidRDefault="005E5A0E" w:rsidP="00CA1B11">
            <w:pPr>
              <w:jc w:val="both"/>
              <w:rPr>
                <w:rFonts w:eastAsia="Batang" w:cs="Arial"/>
                <w:i/>
                <w:color w:val="000000" w:themeColor="text1"/>
                <w:sz w:val="20"/>
                <w:szCs w:val="20"/>
              </w:rPr>
            </w:pPr>
            <w:r w:rsidRPr="00BF4788">
              <w:rPr>
                <w:rFonts w:eastAsia="Batang" w:cs="Arial"/>
                <w:i/>
                <w:color w:val="000000" w:themeColor="text1"/>
                <w:sz w:val="20"/>
                <w:szCs w:val="20"/>
              </w:rPr>
              <w:t xml:space="preserve"> </w:t>
            </w:r>
          </w:p>
          <w:p w:rsidR="005E5A0E" w:rsidRPr="00BF4788" w:rsidRDefault="005E5A0E" w:rsidP="00CA1B11">
            <w:pPr>
              <w:jc w:val="both"/>
              <w:rPr>
                <w:rFonts w:eastAsia="Batang" w:cs="Arial"/>
                <w:i/>
                <w:color w:val="000000" w:themeColor="text1"/>
                <w:sz w:val="20"/>
                <w:szCs w:val="20"/>
              </w:rPr>
            </w:pPr>
            <w:r w:rsidRPr="00BF4788">
              <w:rPr>
                <w:rFonts w:eastAsia="Batang" w:cs="Arial"/>
                <w:i/>
                <w:color w:val="000000" w:themeColor="text1"/>
                <w:sz w:val="20"/>
                <w:szCs w:val="20"/>
              </w:rPr>
              <w:t xml:space="preserve">SEGUNDO.- EXHORTAR al Centro de Zoonosis y la Secretaría Distrital de Salud o a quien haga sus veces, que en el marco de sus competencias y especialmente las señaladas en la Resolución 0240 de 2014, en la realización de los operativos de recolección animal, observe el mandato constitucional de protección animal y las garantías establecidas en el Estatuto de Bienestar Animal y la Ley 1774 de 2016, </w:t>
            </w:r>
            <w:r w:rsidRPr="00BF4788">
              <w:rPr>
                <w:rFonts w:eastAsia="Batang" w:cs="Arial"/>
                <w:i/>
                <w:color w:val="000000" w:themeColor="text1"/>
                <w:sz w:val="20"/>
                <w:szCs w:val="20"/>
              </w:rPr>
              <w:lastRenderedPageBreak/>
              <w:t>teniendo la responsabilidad de evitar y sancionar el maltrato de los perros, en los términos allí previstos.</w:t>
            </w:r>
          </w:p>
          <w:p w:rsidR="005E5A0E" w:rsidRPr="00BF4788" w:rsidRDefault="005E5A0E" w:rsidP="00CA1B11">
            <w:pPr>
              <w:jc w:val="both"/>
              <w:rPr>
                <w:rFonts w:eastAsia="Batang" w:cs="Arial"/>
                <w:i/>
                <w:color w:val="000000" w:themeColor="text1"/>
                <w:sz w:val="20"/>
                <w:szCs w:val="20"/>
              </w:rPr>
            </w:pPr>
            <w:r w:rsidRPr="00BF4788">
              <w:rPr>
                <w:rFonts w:eastAsia="Batang" w:cs="Arial"/>
                <w:i/>
                <w:color w:val="000000" w:themeColor="text1"/>
                <w:sz w:val="20"/>
                <w:szCs w:val="20"/>
              </w:rPr>
              <w:t xml:space="preserve"> </w:t>
            </w:r>
          </w:p>
          <w:p w:rsidR="005E5A0E" w:rsidRPr="00BF4788" w:rsidRDefault="005E5A0E" w:rsidP="00CA1B11">
            <w:pPr>
              <w:jc w:val="both"/>
              <w:rPr>
                <w:rFonts w:eastAsia="Batang" w:cs="Arial"/>
                <w:i/>
                <w:color w:val="000000" w:themeColor="text1"/>
                <w:sz w:val="20"/>
                <w:szCs w:val="20"/>
              </w:rPr>
            </w:pPr>
            <w:r w:rsidRPr="00BF4788">
              <w:rPr>
                <w:rFonts w:eastAsia="Batang" w:cs="Arial"/>
                <w:i/>
                <w:color w:val="000000" w:themeColor="text1"/>
                <w:sz w:val="20"/>
                <w:szCs w:val="20"/>
              </w:rPr>
              <w:t>TERCERO. -</w:t>
            </w:r>
            <w:r w:rsidRPr="00BF4788">
              <w:rPr>
                <w:rFonts w:eastAsia="Batang" w:cs="Arial"/>
                <w:i/>
                <w:color w:val="000000" w:themeColor="text1"/>
                <w:sz w:val="20"/>
                <w:szCs w:val="20"/>
              </w:rPr>
              <w:t xml:space="preserve"> Por Secretaría, líbrese la comunicación prevista en el artículo 36 del Decreto 2591 de 1991.</w:t>
            </w:r>
          </w:p>
          <w:p w:rsidR="005E5A0E" w:rsidRPr="0057122D" w:rsidRDefault="005E5A0E" w:rsidP="00CA1B11">
            <w:pPr>
              <w:jc w:val="both"/>
              <w:rPr>
                <w:rFonts w:eastAsia="Batang" w:cs="Arial"/>
                <w:i/>
                <w:color w:val="000000" w:themeColor="text1"/>
                <w:sz w:val="20"/>
                <w:szCs w:val="20"/>
              </w:rPr>
            </w:pPr>
          </w:p>
        </w:tc>
      </w:tr>
      <w:tr w:rsidR="005E5A0E" w:rsidRPr="0057122D" w:rsidTr="00CA1B11">
        <w:trPr>
          <w:trHeight w:val="822"/>
        </w:trPr>
        <w:tc>
          <w:tcPr>
            <w:tcW w:w="13876" w:type="dxa"/>
            <w:gridSpan w:val="6"/>
          </w:tcPr>
          <w:p w:rsidR="005E5A0E" w:rsidRPr="0057122D" w:rsidRDefault="005E5A0E" w:rsidP="00CA1B11">
            <w:pPr>
              <w:jc w:val="both"/>
              <w:rPr>
                <w:rFonts w:cs="Arial"/>
                <w:b/>
                <w:color w:val="FF0000"/>
                <w:sz w:val="20"/>
                <w:szCs w:val="20"/>
              </w:rPr>
            </w:pPr>
            <w:r w:rsidRPr="0057122D">
              <w:rPr>
                <w:rFonts w:cs="Arial"/>
                <w:b/>
                <w:color w:val="000000" w:themeColor="text1"/>
                <w:sz w:val="20"/>
                <w:szCs w:val="20"/>
              </w:rPr>
              <w:lastRenderedPageBreak/>
              <w:t>COMEN</w:t>
            </w:r>
            <w:r w:rsidRPr="00BF4788">
              <w:rPr>
                <w:rFonts w:cs="Arial"/>
                <w:b/>
                <w:color w:val="000000" w:themeColor="text1"/>
                <w:sz w:val="20"/>
                <w:szCs w:val="20"/>
              </w:rPr>
              <w:t>TARIO: “</w:t>
            </w:r>
            <w:r w:rsidRPr="00BF4788">
              <w:rPr>
                <w:i/>
                <w:color w:val="2D2D2D"/>
                <w:sz w:val="20"/>
                <w:szCs w:val="20"/>
                <w:shd w:val="clear" w:color="auto" w:fill="FFFFFF"/>
              </w:rPr>
              <w:t>La existencia de un mandato constitucional de protección al bienestar animal, no se desencadena la existencia de un derecho fundamental en cabeza de éstos, ni la exigibilidad por medio de la acción de tutela al tratarse de un interés difuso, no individualizable. De dicha noción si se extrae una serie de obligaciones para los seres humanos de, entre otros, velar por la protección de los animales y evitar el maltrato, la tortura o los actos de crueldad, además del cuidado de su integridad y vida; los cuales pueden ser resguardados a través de diferentes mecanismos judiciales entre ellos la acción popular para solicitar la protección del medio ambiente; la acción de cumplimiento para exigir de la administración el deber de protección al bienestar animal concretado en un acto administrativo y ante actos reales y concretos de maltrato animal que no se circunscriban a los límites legítimos al deber constitucional de protección animal, existe sanciones penales y civiles contra los causantes de daño ocasionado a los animales”.</w:t>
            </w:r>
            <w:bookmarkStart w:id="0" w:name="_GoBack"/>
            <w:bookmarkEnd w:id="0"/>
          </w:p>
        </w:tc>
      </w:tr>
    </w:tbl>
    <w:p w:rsidR="005E5A0E" w:rsidRDefault="005E5A0E" w:rsidP="005E5A0E">
      <w:pPr>
        <w:spacing w:line="240" w:lineRule="auto"/>
        <w:rPr>
          <w:rFonts w:cs="Arial"/>
          <w:b/>
          <w:color w:val="FF0000"/>
          <w:sz w:val="20"/>
          <w:szCs w:val="20"/>
        </w:rPr>
      </w:pPr>
    </w:p>
    <w:p w:rsidR="00001785" w:rsidRDefault="005E5A0E"/>
    <w:sectPr w:rsidR="00001785" w:rsidSect="005E5A0E">
      <w:pgSz w:w="19442" w:h="12242" w:orient="landscape" w:code="190"/>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E"/>
    <w:rsid w:val="004A23DD"/>
    <w:rsid w:val="005E5A0E"/>
    <w:rsid w:val="00AF24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CCEFC-305E-4EFE-A350-E799B483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A0E"/>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E5A0E"/>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2630</Words>
  <Characters>14469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PAOLA.MONTES</dc:creator>
  <cp:keywords/>
  <dc:description/>
  <cp:lastModifiedBy>PAOLA.MONTES</cp:lastModifiedBy>
  <cp:revision>1</cp:revision>
  <dcterms:created xsi:type="dcterms:W3CDTF">2017-06-15T23:59:00Z</dcterms:created>
  <dcterms:modified xsi:type="dcterms:W3CDTF">2017-06-16T00:00:00Z</dcterms:modified>
</cp:coreProperties>
</file>