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horzAnchor="margin" w:tblpXSpec="center" w:tblpY="-706"/>
        <w:tblW w:w="13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3755"/>
        <w:gridCol w:w="2890"/>
        <w:gridCol w:w="2977"/>
        <w:gridCol w:w="1805"/>
        <w:gridCol w:w="38"/>
      </w:tblGrid>
      <w:tr w:rsidR="005E5A0E" w:rsidRPr="00BC5A7A" w:rsidTr="00CA1B11">
        <w:trPr>
          <w:trHeight w:val="703"/>
        </w:trPr>
        <w:tc>
          <w:tcPr>
            <w:tcW w:w="13876" w:type="dxa"/>
            <w:gridSpan w:val="6"/>
          </w:tcPr>
          <w:p w:rsidR="005E5A0E" w:rsidRPr="00F83FB5" w:rsidRDefault="005E5A0E" w:rsidP="00CA1B11">
            <w:pPr>
              <w:rPr>
                <w:rFonts w:cs="Arial"/>
                <w:b/>
                <w:color w:val="000000" w:themeColor="text1"/>
                <w:sz w:val="20"/>
                <w:szCs w:val="20"/>
              </w:rPr>
            </w:pPr>
            <w:r w:rsidRPr="00F83FB5">
              <w:rPr>
                <w:rFonts w:cs="Arial"/>
                <w:b/>
                <w:color w:val="000000" w:themeColor="text1"/>
                <w:sz w:val="20"/>
                <w:szCs w:val="20"/>
              </w:rPr>
              <w:t>CORTE CONSTITUCIONAL SENTENCIA T-095/16</w:t>
            </w:r>
          </w:p>
          <w:p w:rsidR="005E5A0E" w:rsidRPr="00F83FB5" w:rsidRDefault="005E5A0E" w:rsidP="00CA1B11">
            <w:pPr>
              <w:rPr>
                <w:rFonts w:cs="Arial"/>
                <w:b/>
                <w:color w:val="000000" w:themeColor="text1"/>
                <w:sz w:val="20"/>
                <w:szCs w:val="20"/>
              </w:rPr>
            </w:pPr>
            <w:r w:rsidRPr="00F83FB5">
              <w:rPr>
                <w:rFonts w:cs="Arial"/>
                <w:b/>
                <w:color w:val="000000" w:themeColor="text1"/>
                <w:sz w:val="20"/>
                <w:szCs w:val="20"/>
              </w:rPr>
              <w:t>ACCION DE TUTELA PARA LA PROTECION DE DERECHOS COLECTIVOS.</w:t>
            </w:r>
          </w:p>
          <w:p w:rsidR="005E5A0E" w:rsidRPr="00F83FB5" w:rsidRDefault="005E5A0E" w:rsidP="00CA1B11">
            <w:pPr>
              <w:rPr>
                <w:color w:val="000000" w:themeColor="text1"/>
                <w:sz w:val="20"/>
                <w:szCs w:val="20"/>
                <w:shd w:val="clear" w:color="auto" w:fill="FFFFFF"/>
              </w:rPr>
            </w:pPr>
            <w:r w:rsidRPr="00F83FB5">
              <w:rPr>
                <w:rFonts w:cs="Arial"/>
                <w:b/>
                <w:color w:val="000000" w:themeColor="text1"/>
                <w:sz w:val="20"/>
                <w:szCs w:val="20"/>
              </w:rPr>
              <w:t>ACCIONANTE:</w:t>
            </w:r>
            <w:r w:rsidRPr="00F83FB5">
              <w:rPr>
                <w:color w:val="000000" w:themeColor="text1"/>
                <w:sz w:val="20"/>
                <w:szCs w:val="20"/>
                <w:shd w:val="clear" w:color="auto" w:fill="FFFFFF"/>
              </w:rPr>
              <w:t xml:space="preserve"> Henry Acuña Cordero.</w:t>
            </w:r>
          </w:p>
          <w:p w:rsidR="005E5A0E" w:rsidRPr="00F83FB5" w:rsidRDefault="005E5A0E" w:rsidP="00CA1B11">
            <w:pPr>
              <w:rPr>
                <w:rFonts w:cs="Arial"/>
                <w:b/>
                <w:color w:val="000000" w:themeColor="text1"/>
                <w:sz w:val="20"/>
                <w:szCs w:val="20"/>
              </w:rPr>
            </w:pPr>
            <w:r w:rsidRPr="00F83FB5">
              <w:rPr>
                <w:rFonts w:cs="Arial"/>
                <w:b/>
                <w:color w:val="000000" w:themeColor="text1"/>
                <w:sz w:val="20"/>
                <w:szCs w:val="20"/>
              </w:rPr>
              <w:t xml:space="preserve">ACCIONADO: </w:t>
            </w:r>
            <w:r w:rsidRPr="00F83FB5">
              <w:rPr>
                <w:color w:val="000000" w:themeColor="text1"/>
                <w:sz w:val="20"/>
                <w:szCs w:val="20"/>
                <w:shd w:val="clear" w:color="auto" w:fill="FFFFFF"/>
              </w:rPr>
              <w:t>Personería Local de Fontibón, la Alcaldía Local de Fontibón, la Secretaría Distrital de Salud, el Centro de Zoonosis y la Secretaría Distrital de Ambiente de Bogotá.</w:t>
            </w:r>
          </w:p>
          <w:p w:rsidR="005E5A0E" w:rsidRPr="00F83FB5" w:rsidRDefault="005E5A0E" w:rsidP="00CA1B11">
            <w:pPr>
              <w:rPr>
                <w:rFonts w:cs="Arial"/>
                <w:b/>
                <w:color w:val="000000" w:themeColor="text1"/>
                <w:sz w:val="20"/>
                <w:szCs w:val="20"/>
              </w:rPr>
            </w:pPr>
            <w:r w:rsidRPr="00F83FB5">
              <w:rPr>
                <w:rFonts w:cs="Arial"/>
                <w:b/>
                <w:color w:val="000000" w:themeColor="text1"/>
                <w:sz w:val="20"/>
                <w:szCs w:val="20"/>
              </w:rPr>
              <w:t xml:space="preserve">REFERENCIA EXPEDIENTE: </w:t>
            </w:r>
            <w:r w:rsidRPr="00F83FB5">
              <w:rPr>
                <w:rFonts w:cs="Arial"/>
                <w:color w:val="000000" w:themeColor="text1"/>
                <w:sz w:val="20"/>
                <w:szCs w:val="20"/>
              </w:rPr>
              <w:t>T- 5.193.939.</w:t>
            </w:r>
          </w:p>
          <w:p w:rsidR="005E5A0E" w:rsidRPr="00F83FB5" w:rsidRDefault="005E5A0E" w:rsidP="00CA1B11">
            <w:pPr>
              <w:rPr>
                <w:rFonts w:cs="Arial"/>
                <w:color w:val="000000" w:themeColor="text1"/>
                <w:sz w:val="20"/>
                <w:szCs w:val="20"/>
              </w:rPr>
            </w:pPr>
            <w:r w:rsidRPr="00F83FB5">
              <w:rPr>
                <w:rFonts w:cs="Arial"/>
                <w:color w:val="000000" w:themeColor="text1"/>
                <w:sz w:val="20"/>
                <w:szCs w:val="20"/>
              </w:rPr>
              <w:t>Bogotá, D.C., veinticinco (25) de febrero de dos mil dieciséis (2016).</w:t>
            </w:r>
          </w:p>
        </w:tc>
      </w:tr>
      <w:tr w:rsidR="005E5A0E" w:rsidRPr="0057122D" w:rsidTr="00CA1B1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gridAfter w:val="1"/>
          <w:wAfter w:w="38" w:type="dxa"/>
          <w:trHeight w:val="450"/>
        </w:trPr>
        <w:tc>
          <w:tcPr>
            <w:tcW w:w="13838" w:type="dxa"/>
            <w:gridSpan w:val="5"/>
          </w:tcPr>
          <w:p w:rsidR="005E5A0E" w:rsidRPr="00F83FB5" w:rsidRDefault="005E5A0E" w:rsidP="00CA1B11">
            <w:pPr>
              <w:jc w:val="both"/>
              <w:rPr>
                <w:rFonts w:cs="Arial"/>
                <w:color w:val="000000" w:themeColor="text1"/>
                <w:sz w:val="20"/>
                <w:szCs w:val="20"/>
              </w:rPr>
            </w:pPr>
            <w:r w:rsidRPr="00F83FB5">
              <w:rPr>
                <w:rFonts w:cs="Arial"/>
                <w:b/>
                <w:color w:val="000000" w:themeColor="text1"/>
                <w:sz w:val="20"/>
                <w:szCs w:val="20"/>
              </w:rPr>
              <w:t>PROBLEMA JURIDICO:</w:t>
            </w:r>
            <w:r w:rsidRPr="00F83FB5">
              <w:rPr>
                <w:rFonts w:cs="Arial"/>
                <w:color w:val="000000" w:themeColor="text1"/>
                <w:sz w:val="20"/>
                <w:szCs w:val="20"/>
              </w:rPr>
              <w:t xml:space="preserve"> </w:t>
            </w:r>
            <w:r w:rsidRPr="00F83FB5">
              <w:rPr>
                <w:rFonts w:cs="Arial"/>
                <w:i/>
                <w:color w:val="000000" w:themeColor="text1"/>
                <w:sz w:val="20"/>
                <w:szCs w:val="20"/>
              </w:rPr>
              <w:t xml:space="preserve">El señor Henry Acuña Cordero interpuso acción de tutela contra la Personería Local de Fontibón, la Alcaldía Local de Fontibón, la Secretaría Distrital de Salud, el Centro Zoonosis y la Secretaría Distrital de Ambiente de Bogotá por considerar vulnerados sus derechos fundamentales de petición y bienestar animal. Las conductas que causan la vulneración son: (i) la decisión de las autoridades accionadas de ordenar un operativo de recogida de 25 perros ubicados en el Parque Ecológico Distrital del Humedal de Capellanía -localidad de Fontibón- y; (ii) la omisión de la Personería de Bogotá y la Alcaldía local de Fontibón de dar respuesta de fondo a la solicitud que busca financiamiento para el refugio, alimentación y asistencia médica de los canes. El ciudadano pretende que el juez de tutela ordene a las entidades accionadas que den respuesta de fondo al derecho de petición elevado y suministren recursos tanto económicos como técnicos para que se puedan salvar los animales, de manera que puedan ser reubicados y mantenerlos a salvo, sin que el Centro de Zoonosis asuma su cuidado.  </w:t>
            </w:r>
          </w:p>
        </w:tc>
      </w:tr>
      <w:tr w:rsidR="005E5A0E" w:rsidRPr="00BC5A7A" w:rsidTr="00CA1B11">
        <w:trPr>
          <w:trHeight w:val="654"/>
        </w:trPr>
        <w:tc>
          <w:tcPr>
            <w:tcW w:w="2411" w:type="dxa"/>
          </w:tcPr>
          <w:p w:rsidR="005E5A0E" w:rsidRPr="0057122D" w:rsidRDefault="005E5A0E" w:rsidP="00CA1B11">
            <w:pPr>
              <w:jc w:val="center"/>
              <w:rPr>
                <w:rFonts w:cs="Arial"/>
                <w:b/>
                <w:color w:val="000000" w:themeColor="text1"/>
                <w:sz w:val="20"/>
                <w:szCs w:val="20"/>
              </w:rPr>
            </w:pPr>
            <w:r w:rsidRPr="0057122D">
              <w:rPr>
                <w:rFonts w:cs="Arial"/>
                <w:b/>
                <w:color w:val="000000" w:themeColor="text1"/>
                <w:sz w:val="20"/>
                <w:szCs w:val="20"/>
              </w:rPr>
              <w:t>HECHOS</w:t>
            </w:r>
          </w:p>
        </w:tc>
        <w:tc>
          <w:tcPr>
            <w:tcW w:w="3755" w:type="dxa"/>
          </w:tcPr>
          <w:p w:rsidR="005E5A0E" w:rsidRPr="0057122D" w:rsidRDefault="005E5A0E" w:rsidP="00CA1B11">
            <w:pPr>
              <w:jc w:val="center"/>
              <w:rPr>
                <w:rFonts w:cs="Arial"/>
                <w:b/>
                <w:bCs/>
                <w:color w:val="000000" w:themeColor="text1"/>
                <w:sz w:val="20"/>
                <w:szCs w:val="20"/>
              </w:rPr>
            </w:pPr>
            <w:r w:rsidRPr="0057122D">
              <w:rPr>
                <w:rFonts w:cs="Arial"/>
                <w:b/>
                <w:bCs/>
                <w:color w:val="000000" w:themeColor="text1"/>
                <w:sz w:val="20"/>
                <w:szCs w:val="20"/>
              </w:rPr>
              <w:t>RESPUESTA DE LA PARTEACCIONADA.</w:t>
            </w:r>
          </w:p>
          <w:p w:rsidR="005E5A0E" w:rsidRPr="0057122D" w:rsidRDefault="005E5A0E" w:rsidP="00CA1B11">
            <w:pPr>
              <w:jc w:val="both"/>
              <w:rPr>
                <w:rFonts w:cs="Arial"/>
                <w:b/>
                <w:bCs/>
                <w:color w:val="000000" w:themeColor="text1"/>
                <w:sz w:val="20"/>
                <w:szCs w:val="20"/>
              </w:rPr>
            </w:pPr>
          </w:p>
        </w:tc>
        <w:tc>
          <w:tcPr>
            <w:tcW w:w="2890" w:type="dxa"/>
          </w:tcPr>
          <w:p w:rsidR="005E5A0E" w:rsidRPr="00F83FB5" w:rsidRDefault="005E5A0E" w:rsidP="00CA1B11">
            <w:pPr>
              <w:jc w:val="center"/>
              <w:rPr>
                <w:rFonts w:cs="Arial"/>
                <w:b/>
                <w:color w:val="000000" w:themeColor="text1"/>
                <w:sz w:val="20"/>
                <w:szCs w:val="20"/>
              </w:rPr>
            </w:pPr>
            <w:r w:rsidRPr="00F83FB5">
              <w:rPr>
                <w:rFonts w:cs="Arial"/>
                <w:b/>
                <w:color w:val="000000" w:themeColor="text1"/>
                <w:sz w:val="20"/>
                <w:szCs w:val="20"/>
              </w:rPr>
              <w:t>SENTENCIA DEL JUZGADO ONCE CIVIL MUNICIPAL DE BOGOTÁ, DEL 7 DE JULIO DE 2015</w:t>
            </w:r>
          </w:p>
        </w:tc>
        <w:tc>
          <w:tcPr>
            <w:tcW w:w="2977" w:type="dxa"/>
          </w:tcPr>
          <w:p w:rsidR="005E5A0E" w:rsidRPr="00F83FB5" w:rsidRDefault="005E5A0E" w:rsidP="00CA1B11">
            <w:pPr>
              <w:jc w:val="center"/>
              <w:rPr>
                <w:rFonts w:cs="Arial"/>
                <w:color w:val="000000" w:themeColor="text1"/>
                <w:sz w:val="20"/>
                <w:szCs w:val="20"/>
              </w:rPr>
            </w:pPr>
            <w:r w:rsidRPr="00F83FB5">
              <w:rPr>
                <w:rFonts w:cs="Arial"/>
                <w:b/>
                <w:bCs/>
                <w:color w:val="000000" w:themeColor="text1"/>
                <w:sz w:val="20"/>
                <w:szCs w:val="20"/>
              </w:rPr>
              <w:t>CONSIDERACIONES DE LA CORTE CONSTITUCIONAL</w:t>
            </w:r>
          </w:p>
        </w:tc>
        <w:tc>
          <w:tcPr>
            <w:tcW w:w="1843" w:type="dxa"/>
            <w:gridSpan w:val="2"/>
          </w:tcPr>
          <w:p w:rsidR="005E5A0E" w:rsidRPr="0057122D" w:rsidRDefault="005E5A0E" w:rsidP="00CA1B11">
            <w:pPr>
              <w:jc w:val="center"/>
              <w:rPr>
                <w:rFonts w:cs="Arial"/>
                <w:b/>
                <w:color w:val="000000" w:themeColor="text1"/>
                <w:sz w:val="20"/>
                <w:szCs w:val="20"/>
              </w:rPr>
            </w:pPr>
            <w:r w:rsidRPr="0057122D">
              <w:rPr>
                <w:rFonts w:cs="Arial"/>
                <w:b/>
                <w:color w:val="000000" w:themeColor="text1"/>
                <w:sz w:val="20"/>
                <w:szCs w:val="20"/>
              </w:rPr>
              <w:t>FALLO</w:t>
            </w:r>
          </w:p>
        </w:tc>
      </w:tr>
      <w:tr w:rsidR="005E5A0E" w:rsidRPr="0057122D" w:rsidTr="00CA1B11">
        <w:trPr>
          <w:trHeight w:val="4420"/>
        </w:trPr>
        <w:tc>
          <w:tcPr>
            <w:tcW w:w="2411" w:type="dxa"/>
          </w:tcPr>
          <w:p w:rsidR="005E5A0E" w:rsidRPr="0057122D" w:rsidRDefault="005E5A0E" w:rsidP="00CA1B11">
            <w:pPr>
              <w:jc w:val="both"/>
              <w:rPr>
                <w:rFonts w:cs="Arial"/>
                <w:i/>
                <w:color w:val="000000" w:themeColor="text1"/>
                <w:sz w:val="20"/>
                <w:szCs w:val="20"/>
              </w:rPr>
            </w:pPr>
            <w:r w:rsidRPr="0057122D">
              <w:rPr>
                <w:rFonts w:cs="Arial"/>
                <w:i/>
                <w:color w:val="000000" w:themeColor="text1"/>
                <w:sz w:val="20"/>
                <w:szCs w:val="20"/>
              </w:rPr>
              <w:lastRenderedPageBreak/>
              <w:t xml:space="preserve">Informó el accionante que hay 25 caninos viviendo en el Parque Ecológico Distrital del humedal de Capellanía, localidad de Fontibón, los cuales han sido alimentados y cuidados por un grupo de voluntarios del conjunto residencial Paseo de San Diego. Manifestó que los perros viven en un “estado </w:t>
            </w:r>
            <w:proofErr w:type="spellStart"/>
            <w:r w:rsidRPr="0057122D">
              <w:rPr>
                <w:rFonts w:cs="Arial"/>
                <w:i/>
                <w:color w:val="000000" w:themeColor="text1"/>
                <w:sz w:val="20"/>
                <w:szCs w:val="20"/>
              </w:rPr>
              <w:t>semi</w:t>
            </w:r>
            <w:proofErr w:type="spellEnd"/>
            <w:r w:rsidRPr="0057122D">
              <w:rPr>
                <w:rFonts w:cs="Arial"/>
                <w:i/>
                <w:color w:val="000000" w:themeColor="text1"/>
                <w:sz w:val="20"/>
                <w:szCs w:val="20"/>
              </w:rPr>
              <w:t xml:space="preserve"> salvaje”, lo que ha dificultado que los atrapen para poder cástralos o realizarles algún tipo de tratamiento veterinario.</w:t>
            </w:r>
          </w:p>
          <w:p w:rsidR="005E5A0E" w:rsidRPr="0057122D" w:rsidRDefault="005E5A0E" w:rsidP="00CA1B11">
            <w:pPr>
              <w:jc w:val="both"/>
              <w:rPr>
                <w:rFonts w:cs="Arial"/>
                <w:i/>
                <w:color w:val="000000" w:themeColor="text1"/>
                <w:sz w:val="20"/>
                <w:szCs w:val="20"/>
              </w:rPr>
            </w:pPr>
            <w:r w:rsidRPr="0057122D">
              <w:rPr>
                <w:rFonts w:cs="Arial"/>
                <w:i/>
                <w:color w:val="000000" w:themeColor="text1"/>
                <w:sz w:val="20"/>
                <w:szCs w:val="20"/>
              </w:rPr>
              <w:t xml:space="preserve"> </w:t>
            </w:r>
          </w:p>
          <w:p w:rsidR="005E5A0E" w:rsidRPr="0057122D" w:rsidRDefault="005E5A0E" w:rsidP="00CA1B11">
            <w:pPr>
              <w:jc w:val="both"/>
              <w:rPr>
                <w:rFonts w:cs="Arial"/>
                <w:i/>
                <w:color w:val="000000" w:themeColor="text1"/>
                <w:sz w:val="20"/>
                <w:szCs w:val="20"/>
              </w:rPr>
            </w:pPr>
            <w:r w:rsidRPr="0057122D">
              <w:rPr>
                <w:rFonts w:cs="Arial"/>
                <w:i/>
                <w:color w:val="000000" w:themeColor="text1"/>
                <w:sz w:val="20"/>
                <w:szCs w:val="20"/>
              </w:rPr>
              <w:t xml:space="preserve">El 3 de marzo de 2015, el accionante solicitó a la Personería de Bogotá, por medio de una petición, la colaboración inmediata para reubicar o construir un refugio en San Roque de Subachoque para los 25 perros que habitan en el humedal de </w:t>
            </w:r>
            <w:proofErr w:type="spellStart"/>
            <w:r w:rsidRPr="0057122D">
              <w:rPr>
                <w:rFonts w:cs="Arial"/>
                <w:i/>
                <w:color w:val="000000" w:themeColor="text1"/>
                <w:sz w:val="20"/>
                <w:szCs w:val="20"/>
              </w:rPr>
              <w:t>Capellenía</w:t>
            </w:r>
            <w:proofErr w:type="spellEnd"/>
            <w:r w:rsidRPr="0057122D">
              <w:rPr>
                <w:rFonts w:cs="Arial"/>
                <w:i/>
                <w:color w:val="000000" w:themeColor="text1"/>
                <w:sz w:val="20"/>
                <w:szCs w:val="20"/>
              </w:rPr>
              <w:t>, pues éste sería cerrado</w:t>
            </w:r>
          </w:p>
          <w:p w:rsidR="005E5A0E" w:rsidRPr="0057122D" w:rsidRDefault="005E5A0E" w:rsidP="00CA1B11">
            <w:pPr>
              <w:jc w:val="both"/>
              <w:rPr>
                <w:rFonts w:cs="Arial"/>
                <w:i/>
                <w:color w:val="000000" w:themeColor="text1"/>
                <w:sz w:val="20"/>
                <w:szCs w:val="20"/>
              </w:rPr>
            </w:pPr>
          </w:p>
          <w:p w:rsidR="005E5A0E" w:rsidRPr="0057122D" w:rsidRDefault="005E5A0E" w:rsidP="00CA1B11">
            <w:pPr>
              <w:jc w:val="both"/>
              <w:rPr>
                <w:rFonts w:cs="Arial"/>
                <w:i/>
                <w:color w:val="000000" w:themeColor="text1"/>
                <w:sz w:val="20"/>
                <w:szCs w:val="20"/>
              </w:rPr>
            </w:pPr>
            <w:r w:rsidRPr="0057122D">
              <w:rPr>
                <w:rFonts w:cs="Arial"/>
                <w:i/>
                <w:color w:val="000000" w:themeColor="text1"/>
                <w:sz w:val="20"/>
                <w:szCs w:val="20"/>
              </w:rPr>
              <w:t xml:space="preserve"> El 26 de marzo de 2015, la Subdirectora de Determinantes en Salud de la Alcaldía Mayor de Bogotá informó que el operativo de recogida programada para el día siguiente no sería realizado porque requerían que entidades como la Alcaldía Local de Fontibón y la Secretaría Distrital de Ambiente, al </w:t>
            </w:r>
            <w:proofErr w:type="gramStart"/>
            <w:r w:rsidRPr="0057122D">
              <w:rPr>
                <w:rFonts w:cs="Arial"/>
                <w:i/>
                <w:color w:val="000000" w:themeColor="text1"/>
                <w:sz w:val="20"/>
                <w:szCs w:val="20"/>
              </w:rPr>
              <w:t>ser  entidades</w:t>
            </w:r>
            <w:proofErr w:type="gramEnd"/>
            <w:r w:rsidRPr="0057122D">
              <w:rPr>
                <w:rFonts w:cs="Arial"/>
                <w:i/>
                <w:color w:val="000000" w:themeColor="text1"/>
                <w:sz w:val="20"/>
                <w:szCs w:val="20"/>
              </w:rPr>
              <w:t xml:space="preserve"> encargadas de ese tipo de procedimientos, estuvieran presentes.</w:t>
            </w:r>
          </w:p>
          <w:p w:rsidR="005E5A0E" w:rsidRPr="0057122D" w:rsidRDefault="005E5A0E" w:rsidP="00CA1B11">
            <w:pPr>
              <w:jc w:val="both"/>
              <w:rPr>
                <w:rFonts w:cs="Arial"/>
                <w:i/>
                <w:color w:val="000000" w:themeColor="text1"/>
                <w:sz w:val="20"/>
                <w:szCs w:val="20"/>
              </w:rPr>
            </w:pPr>
            <w:r w:rsidRPr="0057122D">
              <w:rPr>
                <w:rFonts w:cs="Arial"/>
                <w:i/>
                <w:color w:val="000000" w:themeColor="text1"/>
                <w:sz w:val="20"/>
                <w:szCs w:val="20"/>
              </w:rPr>
              <w:t xml:space="preserve"> </w:t>
            </w:r>
          </w:p>
          <w:p w:rsidR="005E5A0E" w:rsidRPr="0057122D" w:rsidRDefault="005E5A0E" w:rsidP="00CA1B11">
            <w:pPr>
              <w:jc w:val="both"/>
              <w:rPr>
                <w:rFonts w:cs="Arial"/>
                <w:i/>
                <w:color w:val="000000" w:themeColor="text1"/>
                <w:sz w:val="20"/>
                <w:szCs w:val="20"/>
              </w:rPr>
            </w:pPr>
            <w:r w:rsidRPr="0057122D">
              <w:rPr>
                <w:rFonts w:cs="Arial"/>
                <w:i/>
                <w:color w:val="000000" w:themeColor="text1"/>
                <w:sz w:val="20"/>
                <w:szCs w:val="20"/>
              </w:rPr>
              <w:t xml:space="preserve">Sostuvo el actor </w:t>
            </w:r>
            <w:proofErr w:type="gramStart"/>
            <w:r w:rsidRPr="0057122D">
              <w:rPr>
                <w:rFonts w:cs="Arial"/>
                <w:i/>
                <w:color w:val="000000" w:themeColor="text1"/>
                <w:sz w:val="20"/>
                <w:szCs w:val="20"/>
              </w:rPr>
              <w:t>que</w:t>
            </w:r>
            <w:proofErr w:type="gramEnd"/>
            <w:r w:rsidRPr="0057122D">
              <w:rPr>
                <w:rFonts w:cs="Arial"/>
                <w:i/>
                <w:color w:val="000000" w:themeColor="text1"/>
                <w:sz w:val="20"/>
                <w:szCs w:val="20"/>
              </w:rPr>
              <w:t xml:space="preserve"> en los operativos de recolección de perros realizados por el Centro de Zoonosis, los canes se clasifican entre enfermos y sanos; aquellos que estén enfermos serán sacrificados mientras que los otros, después de cinco días, serán puestos en un proceso de adopción. Si no </w:t>
            </w:r>
            <w:r w:rsidRPr="0057122D">
              <w:rPr>
                <w:rFonts w:cs="Arial"/>
                <w:i/>
                <w:color w:val="000000" w:themeColor="text1"/>
                <w:sz w:val="20"/>
                <w:szCs w:val="20"/>
              </w:rPr>
              <w:lastRenderedPageBreak/>
              <w:t>lo hacen también serán sacrificados.</w:t>
            </w:r>
          </w:p>
          <w:p w:rsidR="005E5A0E" w:rsidRPr="0057122D" w:rsidRDefault="005E5A0E" w:rsidP="00CA1B11">
            <w:pPr>
              <w:jc w:val="both"/>
              <w:rPr>
                <w:rFonts w:cs="Arial"/>
                <w:i/>
                <w:color w:val="000000" w:themeColor="text1"/>
                <w:sz w:val="20"/>
                <w:szCs w:val="20"/>
              </w:rPr>
            </w:pPr>
            <w:r w:rsidRPr="0057122D">
              <w:rPr>
                <w:rFonts w:cs="Arial"/>
                <w:i/>
                <w:color w:val="000000" w:themeColor="text1"/>
                <w:sz w:val="20"/>
                <w:szCs w:val="20"/>
              </w:rPr>
              <w:t xml:space="preserve"> </w:t>
            </w:r>
          </w:p>
          <w:p w:rsidR="005E5A0E" w:rsidRPr="0057122D" w:rsidRDefault="005E5A0E" w:rsidP="00CA1B11">
            <w:pPr>
              <w:jc w:val="both"/>
              <w:rPr>
                <w:rFonts w:cs="Arial"/>
                <w:i/>
                <w:color w:val="000000" w:themeColor="text1"/>
                <w:sz w:val="20"/>
                <w:szCs w:val="20"/>
              </w:rPr>
            </w:pPr>
            <w:r w:rsidRPr="0057122D">
              <w:rPr>
                <w:rFonts w:cs="Arial"/>
                <w:i/>
                <w:color w:val="000000" w:themeColor="text1"/>
                <w:sz w:val="20"/>
                <w:szCs w:val="20"/>
              </w:rPr>
              <w:t>Afirmó que la señora Clara Inés Rodríguez es una líder que ha estado al frente de todo el proceso de cuidado de los animales y ha adelantado las gestiones necesarias ante la Alcaldía y la Personería para su cuidado. Empero la respuesta de las mismas, siempre ha sido que no hay recursos y que Zoonosis tampoco cuenta con medios técnicos para anestesiar, dormir o transportar a los perros pues para esa gestión se requiere recursos técnicos de los cuales carecen, tales como dardos.</w:t>
            </w:r>
          </w:p>
          <w:p w:rsidR="005E5A0E" w:rsidRPr="0057122D" w:rsidRDefault="005E5A0E" w:rsidP="00CA1B11">
            <w:pPr>
              <w:jc w:val="both"/>
              <w:rPr>
                <w:rFonts w:cs="Arial"/>
                <w:i/>
                <w:color w:val="000000" w:themeColor="text1"/>
                <w:sz w:val="20"/>
                <w:szCs w:val="20"/>
              </w:rPr>
            </w:pPr>
            <w:r w:rsidRPr="0057122D">
              <w:rPr>
                <w:rFonts w:cs="Arial"/>
                <w:i/>
                <w:color w:val="000000" w:themeColor="text1"/>
                <w:sz w:val="20"/>
                <w:szCs w:val="20"/>
              </w:rPr>
              <w:t xml:space="preserve"> </w:t>
            </w:r>
          </w:p>
          <w:p w:rsidR="005E5A0E" w:rsidRPr="0057122D" w:rsidRDefault="005E5A0E" w:rsidP="00CA1B11">
            <w:pPr>
              <w:jc w:val="both"/>
              <w:rPr>
                <w:rFonts w:cs="Arial"/>
                <w:i/>
                <w:color w:val="000000" w:themeColor="text1"/>
                <w:sz w:val="20"/>
                <w:szCs w:val="20"/>
              </w:rPr>
            </w:pPr>
          </w:p>
        </w:tc>
        <w:tc>
          <w:tcPr>
            <w:tcW w:w="3755" w:type="dxa"/>
          </w:tcPr>
          <w:p w:rsidR="005E5A0E" w:rsidRPr="0057122D" w:rsidRDefault="005E5A0E" w:rsidP="00CA1B11">
            <w:pPr>
              <w:jc w:val="both"/>
              <w:rPr>
                <w:rFonts w:cs="Arial"/>
                <w:bCs/>
                <w:i/>
                <w:color w:val="000000" w:themeColor="text1"/>
                <w:sz w:val="20"/>
                <w:szCs w:val="20"/>
              </w:rPr>
            </w:pPr>
            <w:r w:rsidRPr="0057122D">
              <w:rPr>
                <w:rFonts w:cs="Arial"/>
                <w:bCs/>
                <w:i/>
                <w:color w:val="000000" w:themeColor="text1"/>
                <w:sz w:val="20"/>
                <w:szCs w:val="20"/>
              </w:rPr>
              <w:lastRenderedPageBreak/>
              <w:t> La Dirección de Salud Pública de la Secretaría de Salud de Bogotá, manifestó que el humedal de Capellanía se encuentra en proceso de recuperación por parte del Distrito, pero ha sido apropiado por caninos que están al cuidado de los vecinos aledaños al sector, proveyendo cuidado veterinario, alimentación, desparasitación y esterilización. Informó que el Centro de Zoonosis ha actuado dentro de las competencias otorgadas en la Ley 9 de 1979, Decreto 2257 de 1986 y la Resolución 0240 de 2015.</w:t>
            </w:r>
          </w:p>
          <w:p w:rsidR="005E5A0E" w:rsidRPr="0057122D" w:rsidRDefault="005E5A0E" w:rsidP="00CA1B11">
            <w:pPr>
              <w:jc w:val="both"/>
              <w:rPr>
                <w:rFonts w:cs="Arial"/>
                <w:bCs/>
                <w:i/>
                <w:color w:val="000000" w:themeColor="text1"/>
                <w:sz w:val="20"/>
                <w:szCs w:val="20"/>
              </w:rPr>
            </w:pPr>
            <w:r w:rsidRPr="0057122D">
              <w:rPr>
                <w:rFonts w:cs="Arial"/>
                <w:bCs/>
                <w:i/>
                <w:color w:val="000000" w:themeColor="text1"/>
                <w:sz w:val="20"/>
                <w:szCs w:val="20"/>
              </w:rPr>
              <w:t xml:space="preserve"> </w:t>
            </w:r>
          </w:p>
          <w:p w:rsidR="005E5A0E" w:rsidRPr="0057122D" w:rsidRDefault="005E5A0E" w:rsidP="00CA1B11">
            <w:pPr>
              <w:jc w:val="both"/>
              <w:rPr>
                <w:rFonts w:cs="Arial"/>
                <w:bCs/>
                <w:i/>
                <w:color w:val="000000" w:themeColor="text1"/>
                <w:sz w:val="20"/>
                <w:szCs w:val="20"/>
              </w:rPr>
            </w:pPr>
            <w:r w:rsidRPr="0057122D">
              <w:rPr>
                <w:rFonts w:cs="Arial"/>
                <w:bCs/>
                <w:i/>
                <w:color w:val="000000" w:themeColor="text1"/>
                <w:sz w:val="20"/>
                <w:szCs w:val="20"/>
              </w:rPr>
              <w:t xml:space="preserve">Por otro lado, sostuvo que el Centro de Zoonosis ha realizado cuatro actividades de recolección canina selectiva y humanitaria en el humedal Capellanía, las cuales han sido obstaculizadas por la desinformación de los vecinos del sector, quienes se interponen de manera abrupta para que no se realicen las capturas.  Informó que se han realizado seis mesas de trabajo y un operativo de recolección, el 27 de marzo de 2015, con la participación de la Alcaldía Local, Secretaría de Ambiente, Hospital de Fontibón, Inspección de Policía, Secretaría de Gobierno, Aguas de Bogotá y el Jardín Botánico; en el que se logró la entrega voluntaria de un </w:t>
            </w:r>
            <w:r w:rsidRPr="0057122D">
              <w:rPr>
                <w:rFonts w:cs="Arial"/>
                <w:bCs/>
                <w:i/>
                <w:color w:val="000000" w:themeColor="text1"/>
                <w:sz w:val="20"/>
                <w:szCs w:val="20"/>
              </w:rPr>
              <w:lastRenderedPageBreak/>
              <w:t xml:space="preserve">canino y los restantes huyeron del sector. Asimismo, el 16 de junio se realizó una mesa de trabajo en la que se acordó que el método de captura de los caninos sería menos invasivo y traumático, por lo cual el Jardín Botánico, Aguas de Bogotá y la Secretaría de Ambiente, se encuentran en la consecución de los elementos necesarios para la elaboración de un corral-trampa que permita innovar el método de </w:t>
            </w:r>
            <w:r>
              <w:rPr>
                <w:rFonts w:cs="Arial"/>
                <w:bCs/>
                <w:i/>
                <w:color w:val="000000" w:themeColor="text1"/>
                <w:sz w:val="20"/>
                <w:szCs w:val="20"/>
              </w:rPr>
              <w:t>captura</w:t>
            </w:r>
            <w:r w:rsidRPr="0057122D">
              <w:rPr>
                <w:rFonts w:cs="Arial"/>
                <w:bCs/>
                <w:i/>
                <w:color w:val="000000" w:themeColor="text1"/>
                <w:sz w:val="20"/>
                <w:szCs w:val="20"/>
              </w:rPr>
              <w:t>.</w:t>
            </w:r>
          </w:p>
          <w:p w:rsidR="005E5A0E" w:rsidRPr="0057122D" w:rsidRDefault="005E5A0E" w:rsidP="00CA1B11">
            <w:pPr>
              <w:jc w:val="both"/>
              <w:rPr>
                <w:rFonts w:cs="Arial"/>
                <w:bCs/>
                <w:i/>
                <w:color w:val="000000" w:themeColor="text1"/>
                <w:sz w:val="20"/>
                <w:szCs w:val="20"/>
              </w:rPr>
            </w:pPr>
            <w:r w:rsidRPr="0057122D">
              <w:rPr>
                <w:rFonts w:cs="Arial"/>
                <w:bCs/>
                <w:i/>
                <w:color w:val="000000" w:themeColor="text1"/>
                <w:sz w:val="20"/>
                <w:szCs w:val="20"/>
              </w:rPr>
              <w:t xml:space="preserve"> </w:t>
            </w:r>
          </w:p>
          <w:p w:rsidR="005E5A0E" w:rsidRPr="0057122D" w:rsidRDefault="005E5A0E" w:rsidP="00CA1B11">
            <w:pPr>
              <w:jc w:val="both"/>
              <w:rPr>
                <w:rFonts w:cs="Arial"/>
                <w:bCs/>
                <w:i/>
                <w:color w:val="000000" w:themeColor="text1"/>
                <w:sz w:val="20"/>
                <w:szCs w:val="20"/>
              </w:rPr>
            </w:pPr>
            <w:r w:rsidRPr="0057122D">
              <w:rPr>
                <w:rFonts w:cs="Arial"/>
                <w:bCs/>
                <w:i/>
                <w:color w:val="000000" w:themeColor="text1"/>
                <w:sz w:val="20"/>
                <w:szCs w:val="20"/>
              </w:rPr>
              <w:t xml:space="preserve">9. La Directora de la Secretaría Distrital de Ambiente de Bogotá, señaló que la petición elevada por el accionante fue respondida de manera oportuna e integral por parte de la Personería Delegada para la protección de ambiente y, por tanto, no se ha vulnerado derecho fundamental alguno. Sin embargo, informó que de acuerdo con la Resolución 240 del 17 de enero de 2014, los operativos de recolección de caninos “pueden ser acompañadas por los representantes de las organizaciones defensoras de animales, Alcaldía Local, Policía Ecológica y Ambiental y la Secretaria Distrital de Ambiente, estando asignada la Secretaria Distrital de Salud la función de cuidado, sanidad y demás necesarias para el bienestar de los caninos” y dicha función a la luz de la mencionada </w:t>
            </w:r>
            <w:r w:rsidRPr="0057122D">
              <w:rPr>
                <w:rFonts w:cs="Arial"/>
                <w:bCs/>
                <w:i/>
                <w:color w:val="000000" w:themeColor="text1"/>
                <w:sz w:val="20"/>
                <w:szCs w:val="20"/>
              </w:rPr>
              <w:lastRenderedPageBreak/>
              <w:t>resolución, es responsabilidad de la Secretaría de Salud.</w:t>
            </w:r>
          </w:p>
          <w:p w:rsidR="005E5A0E" w:rsidRPr="0057122D" w:rsidRDefault="005E5A0E" w:rsidP="00CA1B11">
            <w:pPr>
              <w:jc w:val="both"/>
              <w:rPr>
                <w:rFonts w:cs="Arial"/>
                <w:bCs/>
                <w:i/>
                <w:color w:val="000000" w:themeColor="text1"/>
                <w:sz w:val="20"/>
                <w:szCs w:val="20"/>
              </w:rPr>
            </w:pPr>
            <w:r w:rsidRPr="0057122D">
              <w:rPr>
                <w:rFonts w:cs="Arial"/>
                <w:bCs/>
                <w:i/>
                <w:color w:val="000000" w:themeColor="text1"/>
                <w:sz w:val="20"/>
                <w:szCs w:val="20"/>
              </w:rPr>
              <w:t xml:space="preserve"> </w:t>
            </w:r>
          </w:p>
          <w:p w:rsidR="005E5A0E" w:rsidRPr="0057122D" w:rsidRDefault="005E5A0E" w:rsidP="00CA1B11">
            <w:pPr>
              <w:jc w:val="both"/>
              <w:rPr>
                <w:rFonts w:cs="Arial"/>
                <w:bCs/>
                <w:i/>
                <w:color w:val="000000" w:themeColor="text1"/>
                <w:sz w:val="20"/>
                <w:szCs w:val="20"/>
              </w:rPr>
            </w:pPr>
            <w:r w:rsidRPr="0057122D">
              <w:rPr>
                <w:rFonts w:cs="Arial"/>
                <w:bCs/>
                <w:i/>
                <w:color w:val="000000" w:themeColor="text1"/>
                <w:sz w:val="20"/>
                <w:szCs w:val="20"/>
              </w:rPr>
              <w:t xml:space="preserve">La Personería de Bogotá indicó que dio respuesta a la petición elevada por el accionante por medio de oficio del 13 de marzo de 2015 a su vez que, a la petición radicada el 4 de abril, también se ofreció respuesta telefónicamente.  Advirtió que la pretensión del accionante frente a la Personería consiste en la intervención de ésta en los operativos de recolección de animales, programado para capturar y presuntamente sacrificar 25 perros no domesticados que habitan en el humedal de Capellanía. Sin embargo, informó que el Centro de Zoonosis es la autoridad competente para evaluar las condiciones en las que se encuentran los animales y determinar el riesgo que representan para la comunidad, pues se trata de un asunto de salubridad pública, siendo ellos los llamados a establecer cuál procedimiento se debe realizar frente a los caninos que invaden el humedal. </w:t>
            </w:r>
          </w:p>
          <w:p w:rsidR="005E5A0E" w:rsidRPr="0057122D" w:rsidRDefault="005E5A0E" w:rsidP="00CA1B11">
            <w:pPr>
              <w:jc w:val="both"/>
              <w:rPr>
                <w:rFonts w:cs="Arial"/>
                <w:bCs/>
                <w:i/>
                <w:color w:val="000000" w:themeColor="text1"/>
                <w:sz w:val="20"/>
                <w:szCs w:val="20"/>
              </w:rPr>
            </w:pPr>
            <w:r w:rsidRPr="0057122D">
              <w:rPr>
                <w:rFonts w:cs="Arial"/>
                <w:bCs/>
                <w:i/>
                <w:color w:val="000000" w:themeColor="text1"/>
                <w:sz w:val="20"/>
                <w:szCs w:val="20"/>
              </w:rPr>
              <w:t xml:space="preserve"> </w:t>
            </w:r>
          </w:p>
          <w:p w:rsidR="005E5A0E" w:rsidRPr="0057122D" w:rsidRDefault="005E5A0E" w:rsidP="00CA1B11">
            <w:pPr>
              <w:jc w:val="both"/>
              <w:rPr>
                <w:rFonts w:cs="Arial"/>
                <w:bCs/>
                <w:i/>
                <w:color w:val="000000" w:themeColor="text1"/>
                <w:sz w:val="20"/>
                <w:szCs w:val="20"/>
              </w:rPr>
            </w:pPr>
            <w:r w:rsidRPr="0057122D">
              <w:rPr>
                <w:rFonts w:cs="Arial"/>
                <w:bCs/>
                <w:i/>
                <w:color w:val="000000" w:themeColor="text1"/>
                <w:sz w:val="20"/>
                <w:szCs w:val="20"/>
              </w:rPr>
              <w:t xml:space="preserve">Advirtió que lo solicitado por el accionante no se encuentra dentro del marco de competencias de la Personería pues sus </w:t>
            </w:r>
            <w:r w:rsidRPr="0057122D">
              <w:rPr>
                <w:rFonts w:cs="Arial"/>
                <w:bCs/>
                <w:i/>
                <w:color w:val="000000" w:themeColor="text1"/>
                <w:sz w:val="20"/>
                <w:szCs w:val="20"/>
              </w:rPr>
              <w:lastRenderedPageBreak/>
              <w:t>potestades se circunscriben a la defensa del interés público y colectivo de los bogotanos, en la verificación constante de la ejecución de las leyes, acuerdos y órdenes de las autoridades y en la función de control disciplinario. Concluyó que no ha desplegado ninguna conducta que vulnere los derechos fundamentales del accionante, porque ha adelantado las actuaciones necesarias en el marco de sus competencias.</w:t>
            </w:r>
          </w:p>
          <w:p w:rsidR="005E5A0E" w:rsidRPr="0057122D" w:rsidRDefault="005E5A0E" w:rsidP="00CA1B11">
            <w:pPr>
              <w:jc w:val="both"/>
              <w:rPr>
                <w:rFonts w:cs="Arial"/>
                <w:bCs/>
                <w:i/>
                <w:color w:val="000000" w:themeColor="text1"/>
                <w:sz w:val="20"/>
                <w:szCs w:val="20"/>
              </w:rPr>
            </w:pPr>
            <w:r w:rsidRPr="0057122D">
              <w:rPr>
                <w:rFonts w:cs="Arial"/>
                <w:bCs/>
                <w:i/>
                <w:color w:val="000000" w:themeColor="text1"/>
                <w:sz w:val="20"/>
                <w:szCs w:val="20"/>
              </w:rPr>
              <w:t xml:space="preserve"> </w:t>
            </w:r>
          </w:p>
          <w:p w:rsidR="005E5A0E" w:rsidRPr="0057122D" w:rsidRDefault="005E5A0E" w:rsidP="00CA1B11">
            <w:pPr>
              <w:jc w:val="both"/>
              <w:rPr>
                <w:rFonts w:cs="Arial"/>
                <w:bCs/>
                <w:i/>
                <w:color w:val="000000" w:themeColor="text1"/>
                <w:sz w:val="20"/>
                <w:szCs w:val="20"/>
              </w:rPr>
            </w:pPr>
            <w:r w:rsidRPr="0057122D">
              <w:rPr>
                <w:rFonts w:cs="Arial"/>
                <w:bCs/>
                <w:i/>
                <w:color w:val="000000" w:themeColor="text1"/>
                <w:sz w:val="20"/>
                <w:szCs w:val="20"/>
              </w:rPr>
              <w:t xml:space="preserve">El Fondo de Desarrollo Local de Fontibón manifestó no ser competente para decidir sobre la vida, sacrificio o destino de animales, ni sobre su reubicación. Mencionó que a la luz del artículo 17 de la Ley 84 de 1989 no corresponde a las alcaldías locales realizar control sobre los procedimientos que inicie el Centro </w:t>
            </w:r>
            <w:proofErr w:type="gramStart"/>
            <w:r w:rsidRPr="0057122D">
              <w:rPr>
                <w:rFonts w:cs="Arial"/>
                <w:bCs/>
                <w:i/>
                <w:color w:val="000000" w:themeColor="text1"/>
                <w:sz w:val="20"/>
                <w:szCs w:val="20"/>
              </w:rPr>
              <w:t>de  Zoonosis</w:t>
            </w:r>
            <w:proofErr w:type="gramEnd"/>
            <w:r w:rsidRPr="0057122D">
              <w:rPr>
                <w:rFonts w:cs="Arial"/>
                <w:bCs/>
                <w:i/>
                <w:color w:val="000000" w:themeColor="text1"/>
                <w:sz w:val="20"/>
                <w:szCs w:val="20"/>
              </w:rPr>
              <w:t>. Sostuvo que el espacio que está siendo ocupado por los caninos es considerado como público y es propiedad del Distrito, siendo responsabilidad de las alcaldías locales velar por la conservación y recuperación del espacio público.</w:t>
            </w:r>
          </w:p>
          <w:p w:rsidR="005E5A0E" w:rsidRPr="0057122D" w:rsidRDefault="005E5A0E" w:rsidP="00CA1B11">
            <w:pPr>
              <w:jc w:val="both"/>
              <w:rPr>
                <w:rFonts w:cs="Arial"/>
                <w:bCs/>
                <w:i/>
                <w:color w:val="000000" w:themeColor="text1"/>
                <w:sz w:val="20"/>
                <w:szCs w:val="20"/>
              </w:rPr>
            </w:pPr>
            <w:r w:rsidRPr="0057122D">
              <w:rPr>
                <w:rFonts w:cs="Arial"/>
                <w:bCs/>
                <w:i/>
                <w:color w:val="000000" w:themeColor="text1"/>
                <w:sz w:val="20"/>
                <w:szCs w:val="20"/>
              </w:rPr>
              <w:t xml:space="preserve"> </w:t>
            </w:r>
          </w:p>
          <w:p w:rsidR="005E5A0E" w:rsidRPr="0057122D" w:rsidRDefault="005E5A0E" w:rsidP="00CA1B11">
            <w:pPr>
              <w:jc w:val="both"/>
              <w:rPr>
                <w:rFonts w:cs="Arial"/>
                <w:bCs/>
                <w:i/>
                <w:color w:val="000000" w:themeColor="text1"/>
                <w:sz w:val="20"/>
                <w:szCs w:val="20"/>
              </w:rPr>
            </w:pPr>
            <w:r w:rsidRPr="0057122D">
              <w:rPr>
                <w:rFonts w:cs="Arial"/>
                <w:bCs/>
                <w:i/>
                <w:color w:val="000000" w:themeColor="text1"/>
                <w:sz w:val="20"/>
                <w:szCs w:val="20"/>
              </w:rPr>
              <w:t xml:space="preserve">Informó que mediante sentencia del 26 de junio de 2014, el Tribunal Administrativo de </w:t>
            </w:r>
            <w:r w:rsidRPr="0057122D">
              <w:rPr>
                <w:rFonts w:cs="Arial"/>
                <w:bCs/>
                <w:i/>
                <w:color w:val="000000" w:themeColor="text1"/>
                <w:sz w:val="20"/>
                <w:szCs w:val="20"/>
              </w:rPr>
              <w:lastRenderedPageBreak/>
              <w:t xml:space="preserve">Cundinamarca, en una acción popular, confirmó la decisión de cerramiento definitivo del humedal Capellanía por parte de la Empresa de Acueducto y Alcantarillado de Bogotá, para no permitir el ingreso de personas o animales ajenos al </w:t>
            </w:r>
            <w:proofErr w:type="gramStart"/>
            <w:r w:rsidRPr="0057122D">
              <w:rPr>
                <w:rFonts w:cs="Arial"/>
                <w:bCs/>
                <w:i/>
                <w:color w:val="000000" w:themeColor="text1"/>
                <w:sz w:val="20"/>
                <w:szCs w:val="20"/>
              </w:rPr>
              <w:t>ecosistema[</w:t>
            </w:r>
            <w:proofErr w:type="gramEnd"/>
            <w:r w:rsidRPr="0057122D">
              <w:rPr>
                <w:rFonts w:cs="Arial"/>
                <w:bCs/>
                <w:i/>
                <w:color w:val="000000" w:themeColor="text1"/>
                <w:sz w:val="20"/>
                <w:szCs w:val="20"/>
              </w:rPr>
              <w:t>8]. Concluyó que dicha entidad no ha vulnerado derecho fundamental alguno, puesto que la decisión administrativa se encaminó a la recuperación del espacio público, que es función de la alcaldía local, mientras que ésta no es competente para reubicar los perros que se encuentran al interior del humedal. Informó que el 27 de marzo de 2015, día en el cual se había planeado la captura interinstitucional de los caninos, solo fue capturado uno, porque la comunidad saboteo la jornada.</w:t>
            </w:r>
          </w:p>
          <w:p w:rsidR="005E5A0E" w:rsidRPr="0057122D" w:rsidRDefault="005E5A0E" w:rsidP="00CA1B11">
            <w:pPr>
              <w:jc w:val="both"/>
              <w:rPr>
                <w:rFonts w:cs="Arial"/>
                <w:bCs/>
                <w:i/>
                <w:color w:val="000000" w:themeColor="text1"/>
                <w:sz w:val="20"/>
                <w:szCs w:val="20"/>
              </w:rPr>
            </w:pPr>
            <w:r w:rsidRPr="0057122D">
              <w:rPr>
                <w:rFonts w:cs="Arial"/>
                <w:bCs/>
                <w:i/>
                <w:color w:val="000000" w:themeColor="text1"/>
                <w:sz w:val="20"/>
                <w:szCs w:val="20"/>
              </w:rPr>
              <w:t xml:space="preserve"> </w:t>
            </w:r>
          </w:p>
          <w:p w:rsidR="005E5A0E" w:rsidRPr="0057122D" w:rsidRDefault="005E5A0E" w:rsidP="00CA1B11">
            <w:pPr>
              <w:jc w:val="both"/>
              <w:rPr>
                <w:rFonts w:cs="Arial"/>
                <w:bCs/>
                <w:i/>
                <w:color w:val="000000" w:themeColor="text1"/>
                <w:sz w:val="20"/>
                <w:szCs w:val="20"/>
              </w:rPr>
            </w:pPr>
            <w:r w:rsidRPr="0057122D">
              <w:rPr>
                <w:rFonts w:cs="Arial"/>
                <w:bCs/>
                <w:i/>
                <w:color w:val="000000" w:themeColor="text1"/>
                <w:sz w:val="20"/>
                <w:szCs w:val="20"/>
              </w:rPr>
              <w:t xml:space="preserve">La Subsecretaría Distrital de Gobierno de la Alcaldía Local de Fontibón solicitó declarar la improcedencia de la acción de tutela pues no se cumple con el requisito de subsidiariedad, en la medida en que la alcaldía ha realizado todas las actuaciones administrativas tendientes a la protección de los derechos fundamentales, dando respuesta oportuna y de fondo a la petición y adoptando las decisiones administrativas encaminadas a la </w:t>
            </w:r>
            <w:r w:rsidRPr="0057122D">
              <w:rPr>
                <w:rFonts w:cs="Arial"/>
                <w:bCs/>
                <w:i/>
                <w:color w:val="000000" w:themeColor="text1"/>
                <w:sz w:val="20"/>
                <w:szCs w:val="20"/>
              </w:rPr>
              <w:lastRenderedPageBreak/>
              <w:t>recuperación del espacio público del humedal de Capellanía.  Manifestó que la alcaldía tiene el deber de velar por la conservación del espacio público, a la luz del artículo 193 del Acuerdo Distrital 079 de 2003 y de los artículos 193 y 315 de la Constitución, pues corresponde a los alcaldes como primera autoridad de policía, velar por la recuperación y preservación del espacio público; mientras que ninguna norma faculta u obliga a las alcaldías locales a reubicar animales, ni proveer recursos económicos para ello.</w:t>
            </w:r>
          </w:p>
          <w:p w:rsidR="005E5A0E" w:rsidRPr="0057122D" w:rsidRDefault="005E5A0E" w:rsidP="00CA1B11">
            <w:pPr>
              <w:jc w:val="both"/>
              <w:rPr>
                <w:rFonts w:cs="Arial"/>
                <w:i/>
                <w:color w:val="000000" w:themeColor="text1"/>
                <w:sz w:val="20"/>
                <w:szCs w:val="20"/>
              </w:rPr>
            </w:pPr>
          </w:p>
          <w:p w:rsidR="005E5A0E" w:rsidRPr="0057122D" w:rsidRDefault="005E5A0E" w:rsidP="00CA1B11">
            <w:pPr>
              <w:jc w:val="both"/>
              <w:rPr>
                <w:rFonts w:cs="Arial"/>
                <w:sz w:val="20"/>
                <w:szCs w:val="20"/>
              </w:rPr>
            </w:pPr>
          </w:p>
        </w:tc>
        <w:tc>
          <w:tcPr>
            <w:tcW w:w="2890" w:type="dxa"/>
          </w:tcPr>
          <w:p w:rsidR="005E5A0E" w:rsidRPr="00F83FB5" w:rsidRDefault="005E5A0E" w:rsidP="00CA1B11">
            <w:pPr>
              <w:jc w:val="both"/>
              <w:rPr>
                <w:rFonts w:cs="Arial"/>
                <w:i/>
                <w:color w:val="000000" w:themeColor="text1"/>
                <w:sz w:val="20"/>
                <w:szCs w:val="20"/>
              </w:rPr>
            </w:pPr>
            <w:r w:rsidRPr="00F83FB5">
              <w:rPr>
                <w:rFonts w:cs="Arial"/>
                <w:i/>
                <w:color w:val="000000" w:themeColor="text1"/>
                <w:sz w:val="20"/>
                <w:szCs w:val="20"/>
              </w:rPr>
              <w:lastRenderedPageBreak/>
              <w:t xml:space="preserve">Negó el amparo al estimar que las peticiones elevadas por el accionante fueron contestadas de manera oportuna y de fondo. Por otro lado, estimó que la tutela está diseñada para proteger derechos fundamentales y no de rango legal. Sostuvo </w:t>
            </w:r>
            <w:proofErr w:type="gramStart"/>
            <w:r w:rsidRPr="00F83FB5">
              <w:rPr>
                <w:rFonts w:cs="Arial"/>
                <w:i/>
                <w:color w:val="000000" w:themeColor="text1"/>
                <w:sz w:val="20"/>
                <w:szCs w:val="20"/>
              </w:rPr>
              <w:t>que</w:t>
            </w:r>
            <w:proofErr w:type="gramEnd"/>
            <w:r w:rsidRPr="00F83FB5">
              <w:rPr>
                <w:rFonts w:cs="Arial"/>
                <w:i/>
                <w:color w:val="000000" w:themeColor="text1"/>
                <w:sz w:val="20"/>
                <w:szCs w:val="20"/>
              </w:rPr>
              <w:t xml:space="preserve"> aunque el actor afirmó en el escrito de tutela que presentó una nueva petición por vía telefónica, se omitió aportar la prueba correspondiente. No obstante, se conoce que se trata de la misma petición realizada el 3 de marzo de 2015 frente a la cual la Personería respondió en varias ocasiones y remitió las diligencias adelantadas para los resolver los hechos que reprocha el señor Henry Acuña sobre la situación de los perros que viven en el humedal Capellanía. Por lo tanto, la pretensión del accionante respecto de dar respuesta a los derechos de petición elevados fue satisfecha. </w:t>
            </w:r>
          </w:p>
          <w:p w:rsidR="005E5A0E" w:rsidRPr="00F83FB5" w:rsidRDefault="005E5A0E" w:rsidP="00CA1B11">
            <w:pPr>
              <w:jc w:val="both"/>
              <w:rPr>
                <w:rFonts w:cs="Arial"/>
                <w:i/>
                <w:color w:val="000000" w:themeColor="text1"/>
                <w:sz w:val="20"/>
                <w:szCs w:val="20"/>
              </w:rPr>
            </w:pPr>
            <w:r w:rsidRPr="00F83FB5">
              <w:rPr>
                <w:rFonts w:cs="Arial"/>
                <w:i/>
                <w:color w:val="000000" w:themeColor="text1"/>
                <w:sz w:val="20"/>
                <w:szCs w:val="20"/>
              </w:rPr>
              <w:t xml:space="preserve"> </w:t>
            </w:r>
          </w:p>
          <w:p w:rsidR="005E5A0E" w:rsidRPr="00F83FB5" w:rsidRDefault="005E5A0E" w:rsidP="00CA1B11">
            <w:pPr>
              <w:jc w:val="both"/>
              <w:rPr>
                <w:rFonts w:cs="Arial"/>
                <w:i/>
                <w:color w:val="000000" w:themeColor="text1"/>
                <w:sz w:val="20"/>
                <w:szCs w:val="20"/>
              </w:rPr>
            </w:pPr>
            <w:r w:rsidRPr="00F83FB5">
              <w:rPr>
                <w:rFonts w:cs="Arial"/>
                <w:i/>
                <w:color w:val="000000" w:themeColor="text1"/>
                <w:sz w:val="20"/>
                <w:szCs w:val="20"/>
              </w:rPr>
              <w:lastRenderedPageBreak/>
              <w:t>Por otro lado, advirtió que la situación de los canes que habitan el humedal, es un problema ambiental que no puede ser debatido por vía tutela por cuanto el accionante cuenta con los mecanismos judiciales y ciudadanos para tener una participación activa en la solución de conflictos que afectan su localidad, de manera personal o mediante representación -veedurías ciudadanas-, razón por la cual la acción de tutela no es procedente porque no existe conexidad entre la afectación del derecho al medio ambiente y el de petición.</w:t>
            </w:r>
          </w:p>
          <w:p w:rsidR="005E5A0E" w:rsidRPr="00F83FB5" w:rsidRDefault="005E5A0E" w:rsidP="00CA1B11">
            <w:pPr>
              <w:jc w:val="both"/>
              <w:rPr>
                <w:rFonts w:cs="Arial"/>
                <w:i/>
                <w:color w:val="000000" w:themeColor="text1"/>
                <w:sz w:val="20"/>
                <w:szCs w:val="20"/>
              </w:rPr>
            </w:pPr>
            <w:r w:rsidRPr="00F83FB5">
              <w:rPr>
                <w:rFonts w:cs="Arial"/>
                <w:i/>
                <w:color w:val="000000" w:themeColor="text1"/>
                <w:sz w:val="20"/>
                <w:szCs w:val="20"/>
              </w:rPr>
              <w:t xml:space="preserve"> </w:t>
            </w:r>
          </w:p>
          <w:p w:rsidR="005E5A0E" w:rsidRPr="00F83FB5" w:rsidRDefault="005E5A0E" w:rsidP="00CA1B11">
            <w:pPr>
              <w:jc w:val="both"/>
              <w:rPr>
                <w:rFonts w:cs="Arial"/>
                <w:i/>
                <w:color w:val="000000" w:themeColor="text1"/>
                <w:sz w:val="20"/>
                <w:szCs w:val="20"/>
              </w:rPr>
            </w:pPr>
            <w:r w:rsidRPr="00F83FB5">
              <w:rPr>
                <w:rFonts w:cs="Arial"/>
                <w:i/>
                <w:color w:val="000000" w:themeColor="text1"/>
                <w:sz w:val="20"/>
                <w:szCs w:val="20"/>
              </w:rPr>
              <w:t xml:space="preserve">Concluyó que en expediente obran medios de prueba en los que se infiere que la administración distrital está trabajando mancomunadamente con la comunidad para recuperar el humedal Capellanía y dar una solución al tema de los animales que allí habitan, “razón por lo cual este despacho no puede acceder a </w:t>
            </w:r>
            <w:r w:rsidRPr="00F83FB5">
              <w:rPr>
                <w:rFonts w:cs="Arial"/>
                <w:i/>
                <w:color w:val="000000" w:themeColor="text1"/>
                <w:sz w:val="20"/>
                <w:szCs w:val="20"/>
              </w:rPr>
              <w:lastRenderedPageBreak/>
              <w:t xml:space="preserve">las pretensiones de la acción constitucional,” por lo cual decidió “negar la acción de tutela impetrada por Henry Acuña (…) conforme a las razones anotadas en la parte motiva de esta providencia”. </w:t>
            </w:r>
          </w:p>
          <w:p w:rsidR="005E5A0E" w:rsidRPr="00F83FB5" w:rsidRDefault="005E5A0E" w:rsidP="00CA1B11">
            <w:pPr>
              <w:jc w:val="both"/>
              <w:rPr>
                <w:rFonts w:cs="Arial"/>
                <w:i/>
                <w:color w:val="000000" w:themeColor="text1"/>
                <w:sz w:val="20"/>
                <w:szCs w:val="20"/>
              </w:rPr>
            </w:pPr>
            <w:r w:rsidRPr="00F83FB5">
              <w:rPr>
                <w:rFonts w:cs="Arial"/>
                <w:i/>
                <w:color w:val="000000" w:themeColor="text1"/>
                <w:sz w:val="20"/>
                <w:szCs w:val="20"/>
              </w:rPr>
              <w:t xml:space="preserve"> </w:t>
            </w:r>
          </w:p>
          <w:p w:rsidR="005E5A0E" w:rsidRPr="00F83FB5" w:rsidRDefault="005E5A0E" w:rsidP="00CA1B11">
            <w:pPr>
              <w:jc w:val="both"/>
              <w:rPr>
                <w:rFonts w:cs="Arial"/>
                <w:i/>
                <w:color w:val="000000" w:themeColor="text1"/>
                <w:sz w:val="20"/>
                <w:szCs w:val="20"/>
              </w:rPr>
            </w:pPr>
            <w:r w:rsidRPr="00F83FB5">
              <w:rPr>
                <w:rFonts w:cs="Arial"/>
                <w:i/>
                <w:color w:val="000000" w:themeColor="text1"/>
                <w:sz w:val="20"/>
                <w:szCs w:val="20"/>
              </w:rPr>
              <w:t>IMPUGNACIÓN:</w:t>
            </w:r>
          </w:p>
          <w:p w:rsidR="005E5A0E" w:rsidRPr="00F83FB5" w:rsidRDefault="005E5A0E" w:rsidP="00CA1B11">
            <w:pPr>
              <w:jc w:val="both"/>
              <w:rPr>
                <w:rFonts w:cs="Arial"/>
                <w:i/>
                <w:color w:val="000000" w:themeColor="text1"/>
                <w:sz w:val="20"/>
                <w:szCs w:val="20"/>
              </w:rPr>
            </w:pPr>
            <w:r w:rsidRPr="00F83FB5">
              <w:rPr>
                <w:rFonts w:cs="Arial"/>
                <w:i/>
                <w:color w:val="000000" w:themeColor="text1"/>
                <w:sz w:val="20"/>
                <w:szCs w:val="20"/>
              </w:rPr>
              <w:t xml:space="preserve"> </w:t>
            </w:r>
          </w:p>
          <w:p w:rsidR="005E5A0E" w:rsidRPr="00F83FB5" w:rsidRDefault="005E5A0E" w:rsidP="00CA1B11">
            <w:pPr>
              <w:jc w:val="both"/>
              <w:rPr>
                <w:rFonts w:cs="Arial"/>
                <w:i/>
                <w:color w:val="000000" w:themeColor="text1"/>
                <w:sz w:val="20"/>
                <w:szCs w:val="20"/>
              </w:rPr>
            </w:pPr>
            <w:r w:rsidRPr="00F83FB5">
              <w:rPr>
                <w:rFonts w:cs="Arial"/>
                <w:i/>
                <w:color w:val="000000" w:themeColor="text1"/>
                <w:sz w:val="20"/>
                <w:szCs w:val="20"/>
              </w:rPr>
              <w:t>El accionante impugnó la decisión del a quo, reiterando que la Personería no ha dado respuesta a la petición escrita formulada el 3 de marzo de 2015, ni ha desplegado conductas tendientes a proveer una protección del derecho a la vida de los animales, quienes no tienen forma de ser representados.  Para ello, solicitó que los animales fueran reubicados en un resguardo en el cual les provean todas las necesidades vitales como vacunación, esterilización y alimentación.</w:t>
            </w:r>
          </w:p>
          <w:p w:rsidR="005E5A0E" w:rsidRPr="00F83FB5" w:rsidRDefault="005E5A0E" w:rsidP="00CA1B11">
            <w:pPr>
              <w:jc w:val="both"/>
              <w:rPr>
                <w:rFonts w:cs="Arial"/>
                <w:b/>
                <w:i/>
                <w:color w:val="000000" w:themeColor="text1"/>
                <w:sz w:val="20"/>
                <w:szCs w:val="20"/>
              </w:rPr>
            </w:pPr>
            <w:r w:rsidRPr="00F83FB5">
              <w:rPr>
                <w:rFonts w:cs="Arial"/>
                <w:i/>
                <w:color w:val="000000" w:themeColor="text1"/>
                <w:sz w:val="20"/>
                <w:szCs w:val="20"/>
              </w:rPr>
              <w:t xml:space="preserve"> </w:t>
            </w:r>
          </w:p>
          <w:p w:rsidR="005E5A0E" w:rsidRPr="00F83FB5" w:rsidRDefault="005E5A0E" w:rsidP="00CA1B11">
            <w:pPr>
              <w:jc w:val="both"/>
              <w:rPr>
                <w:rFonts w:cs="Arial"/>
                <w:b/>
                <w:i/>
                <w:color w:val="000000" w:themeColor="text1"/>
                <w:sz w:val="20"/>
                <w:szCs w:val="20"/>
              </w:rPr>
            </w:pPr>
            <w:r w:rsidRPr="00F83FB5">
              <w:rPr>
                <w:rFonts w:cs="Arial"/>
                <w:b/>
                <w:i/>
                <w:color w:val="000000" w:themeColor="text1"/>
                <w:sz w:val="20"/>
                <w:szCs w:val="20"/>
              </w:rPr>
              <w:lastRenderedPageBreak/>
              <w:t>Segunda instancia. Sentencia del Juzgado Veintisiete Civil del Circuito de Bogotá, del 26 de agosto de 2015.</w:t>
            </w:r>
          </w:p>
          <w:p w:rsidR="005E5A0E" w:rsidRPr="00F83FB5" w:rsidRDefault="005E5A0E" w:rsidP="00CA1B11">
            <w:pPr>
              <w:jc w:val="both"/>
              <w:rPr>
                <w:rFonts w:cs="Arial"/>
                <w:i/>
                <w:color w:val="000000" w:themeColor="text1"/>
                <w:sz w:val="20"/>
                <w:szCs w:val="20"/>
              </w:rPr>
            </w:pPr>
            <w:r w:rsidRPr="00F83FB5">
              <w:rPr>
                <w:rFonts w:cs="Arial"/>
                <w:i/>
                <w:color w:val="000000" w:themeColor="text1"/>
                <w:sz w:val="20"/>
                <w:szCs w:val="20"/>
              </w:rPr>
              <w:t xml:space="preserve"> </w:t>
            </w:r>
          </w:p>
          <w:p w:rsidR="005E5A0E" w:rsidRPr="00F83FB5" w:rsidRDefault="005E5A0E" w:rsidP="00CA1B11">
            <w:pPr>
              <w:jc w:val="both"/>
              <w:rPr>
                <w:rFonts w:cs="Arial"/>
                <w:i/>
                <w:color w:val="000000" w:themeColor="text1"/>
                <w:sz w:val="20"/>
                <w:szCs w:val="20"/>
              </w:rPr>
            </w:pPr>
            <w:r w:rsidRPr="00F83FB5">
              <w:rPr>
                <w:rFonts w:cs="Arial"/>
                <w:i/>
                <w:color w:val="000000" w:themeColor="text1"/>
                <w:sz w:val="20"/>
                <w:szCs w:val="20"/>
              </w:rPr>
              <w:t>Decidió “confirmar el fallo de tutela proferido por el Juzgado Once Civil Municipal”. Sostuvo que la acción de tutela no es procedente para solicitar la garantía de derechos de rango legal, ni para hacer cumplir leyes, decretos, normas o actos administrativos. Por otra parte, consideró que el derecho de petición no fue vulnerado, en la medida en que las entidades accionadas dieron respuesta oportuna y de fondo a las solicitudes elevadas por el señor Acuña.</w:t>
            </w:r>
          </w:p>
        </w:tc>
        <w:tc>
          <w:tcPr>
            <w:tcW w:w="2977" w:type="dxa"/>
          </w:tcPr>
          <w:p w:rsidR="005E5A0E" w:rsidRPr="00F83FB5" w:rsidRDefault="005E5A0E" w:rsidP="00CA1B11">
            <w:pPr>
              <w:shd w:val="clear" w:color="auto" w:fill="FFFFFF"/>
              <w:jc w:val="both"/>
              <w:textAlignment w:val="baseline"/>
              <w:rPr>
                <w:rFonts w:eastAsia="Times New Roman" w:cs="Times New Roman"/>
                <w:i/>
                <w:color w:val="2D2D2D"/>
                <w:sz w:val="20"/>
                <w:szCs w:val="20"/>
              </w:rPr>
            </w:pPr>
            <w:r w:rsidRPr="00F83FB5">
              <w:rPr>
                <w:rFonts w:eastAsia="Times New Roman" w:cs="Times New Roman"/>
                <w:i/>
                <w:color w:val="2D2D2D"/>
                <w:sz w:val="20"/>
                <w:szCs w:val="20"/>
                <w:bdr w:val="none" w:sz="0" w:space="0" w:color="auto" w:frame="1"/>
                <w:lang w:val="es-ES_tradnl"/>
              </w:rPr>
              <w:lastRenderedPageBreak/>
              <w:t>La Sala concluye que las actuaciones de las entidades accionadas se encuentran conformes al deber constitucional de protección animal y del derecho de petición, por lo cual se confirmarán las decisiones de instancia de negar el amparo del derecho de petición y declarar la improcedencia de la acción de tutela para proteger el bienestar animal.</w:t>
            </w:r>
          </w:p>
          <w:p w:rsidR="005E5A0E" w:rsidRPr="0057122D" w:rsidRDefault="005E5A0E" w:rsidP="00CA1B11">
            <w:pPr>
              <w:shd w:val="clear" w:color="auto" w:fill="FFFFFF"/>
              <w:jc w:val="both"/>
              <w:textAlignment w:val="baseline"/>
              <w:rPr>
                <w:rFonts w:eastAsia="Times New Roman" w:cs="Times New Roman"/>
                <w:i/>
                <w:color w:val="2D2D2D"/>
                <w:sz w:val="20"/>
                <w:szCs w:val="20"/>
              </w:rPr>
            </w:pPr>
            <w:r w:rsidRPr="0057122D">
              <w:rPr>
                <w:rFonts w:eastAsia="Times New Roman" w:cs="Times New Roman"/>
                <w:i/>
                <w:color w:val="2D2D2D"/>
                <w:sz w:val="20"/>
                <w:szCs w:val="20"/>
                <w:bdr w:val="none" w:sz="0" w:space="0" w:color="auto" w:frame="1"/>
                <w:lang w:val="es-ES_tradnl"/>
              </w:rPr>
              <w:t> </w:t>
            </w:r>
          </w:p>
          <w:p w:rsidR="005E5A0E" w:rsidRPr="0057122D" w:rsidRDefault="005E5A0E" w:rsidP="00CA1B11">
            <w:pPr>
              <w:shd w:val="clear" w:color="auto" w:fill="FFFFFF"/>
              <w:jc w:val="both"/>
              <w:textAlignment w:val="baseline"/>
              <w:rPr>
                <w:rFonts w:eastAsia="Times New Roman" w:cs="Times New Roman"/>
                <w:i/>
                <w:color w:val="2D2D2D"/>
                <w:sz w:val="20"/>
                <w:szCs w:val="20"/>
              </w:rPr>
            </w:pPr>
            <w:r w:rsidRPr="0057122D">
              <w:rPr>
                <w:rFonts w:eastAsia="Times New Roman" w:cs="Times New Roman"/>
                <w:b/>
                <w:bCs/>
                <w:i/>
                <w:color w:val="2D2D2D"/>
                <w:sz w:val="20"/>
                <w:szCs w:val="20"/>
                <w:bdr w:val="none" w:sz="0" w:space="0" w:color="auto" w:frame="1"/>
              </w:rPr>
              <w:t>Decisión.</w:t>
            </w:r>
            <w:r w:rsidRPr="00F83FB5">
              <w:rPr>
                <w:rFonts w:eastAsia="Times New Roman" w:cs="Times New Roman"/>
                <w:i/>
                <w:color w:val="2D2D2D"/>
                <w:sz w:val="20"/>
                <w:szCs w:val="20"/>
                <w:bdr w:val="none" w:sz="0" w:space="0" w:color="auto" w:frame="1"/>
              </w:rPr>
              <w:t> </w:t>
            </w:r>
            <w:r w:rsidRPr="0057122D">
              <w:rPr>
                <w:rFonts w:eastAsia="Times New Roman" w:cs="Times New Roman"/>
                <w:i/>
                <w:color w:val="2D2D2D"/>
                <w:sz w:val="20"/>
                <w:szCs w:val="20"/>
                <w:bdr w:val="none" w:sz="0" w:space="0" w:color="auto" w:frame="1"/>
                <w:shd w:val="clear" w:color="auto" w:fill="FFFFFF"/>
              </w:rPr>
              <w:t>La Corte</w:t>
            </w:r>
            <w:r w:rsidRPr="00F83FB5">
              <w:rPr>
                <w:rFonts w:eastAsia="Times New Roman" w:cs="Times New Roman"/>
                <w:i/>
                <w:color w:val="2D2D2D"/>
                <w:sz w:val="20"/>
                <w:szCs w:val="20"/>
                <w:bdr w:val="none" w:sz="0" w:space="0" w:color="auto" w:frame="1"/>
                <w:shd w:val="clear" w:color="auto" w:fill="FFFFFF"/>
              </w:rPr>
              <w:t> </w:t>
            </w:r>
            <w:r w:rsidRPr="0057122D">
              <w:rPr>
                <w:rFonts w:eastAsia="Times New Roman" w:cs="Times New Roman"/>
                <w:i/>
                <w:color w:val="2D2D2D"/>
                <w:sz w:val="20"/>
                <w:szCs w:val="20"/>
                <w:bdr w:val="none" w:sz="0" w:space="0" w:color="auto" w:frame="1"/>
                <w:shd w:val="clear" w:color="auto" w:fill="FFFFFF"/>
                <w:lang w:val="es-ES_tradnl"/>
              </w:rPr>
              <w:t>confirmará las decisiones de instancia que negaron el amparo del derecho de petición y declarar la improcedencia de la acción de tutela para proteger el bienestar animal.</w:t>
            </w:r>
          </w:p>
          <w:p w:rsidR="005E5A0E" w:rsidRPr="0057122D" w:rsidRDefault="005E5A0E" w:rsidP="00CA1B11">
            <w:pPr>
              <w:shd w:val="clear" w:color="auto" w:fill="FFFFFF"/>
              <w:jc w:val="both"/>
              <w:textAlignment w:val="baseline"/>
              <w:rPr>
                <w:rFonts w:eastAsia="Times New Roman" w:cs="Times New Roman"/>
                <w:i/>
                <w:color w:val="2D2D2D"/>
                <w:sz w:val="20"/>
                <w:szCs w:val="20"/>
              </w:rPr>
            </w:pPr>
            <w:r w:rsidRPr="0057122D">
              <w:rPr>
                <w:rFonts w:eastAsia="Times New Roman" w:cs="Times New Roman"/>
                <w:i/>
                <w:color w:val="2D2D2D"/>
                <w:sz w:val="20"/>
                <w:szCs w:val="20"/>
                <w:bdr w:val="none" w:sz="0" w:space="0" w:color="auto" w:frame="1"/>
                <w:shd w:val="clear" w:color="auto" w:fill="FFFFFF"/>
                <w:lang w:val="es-ES_tradnl"/>
              </w:rPr>
              <w:t> </w:t>
            </w:r>
          </w:p>
          <w:p w:rsidR="005E5A0E" w:rsidRPr="0057122D" w:rsidRDefault="005E5A0E" w:rsidP="00CA1B11">
            <w:pPr>
              <w:shd w:val="clear" w:color="auto" w:fill="FFFFFF"/>
              <w:jc w:val="both"/>
              <w:textAlignment w:val="baseline"/>
              <w:rPr>
                <w:rFonts w:eastAsia="Times New Roman" w:cs="Times New Roman"/>
                <w:i/>
                <w:color w:val="2D2D2D"/>
                <w:sz w:val="20"/>
                <w:szCs w:val="20"/>
              </w:rPr>
            </w:pPr>
            <w:r w:rsidRPr="0057122D">
              <w:rPr>
                <w:rFonts w:eastAsia="Times New Roman" w:cs="Times New Roman"/>
                <w:i/>
                <w:color w:val="2D2D2D"/>
                <w:sz w:val="20"/>
                <w:szCs w:val="20"/>
                <w:bdr w:val="none" w:sz="0" w:space="0" w:color="auto" w:frame="1"/>
                <w:lang w:val="es-ES_tradnl"/>
              </w:rPr>
              <w:t xml:space="preserve">Empero, se exhortará al Centro de Zoonosis y la Secretaría Distrital de Salud, que en el marco de sus competencias y especialmente las señaladas en la Resolución 0240 de 2014, en la realización de los operativos de recolección animal, </w:t>
            </w:r>
            <w:r w:rsidRPr="0057122D">
              <w:rPr>
                <w:rFonts w:eastAsia="Times New Roman" w:cs="Times New Roman"/>
                <w:i/>
                <w:color w:val="2D2D2D"/>
                <w:sz w:val="20"/>
                <w:szCs w:val="20"/>
                <w:bdr w:val="none" w:sz="0" w:space="0" w:color="auto" w:frame="1"/>
                <w:lang w:val="es-ES_tradnl"/>
              </w:rPr>
              <w:lastRenderedPageBreak/>
              <w:t>observe el deber constitucional de protección animal y las garantías establecidas en el Estatuto de Bienestar Animal y la Ley</w:t>
            </w:r>
            <w:r w:rsidRPr="00F83FB5">
              <w:rPr>
                <w:rFonts w:eastAsia="Times New Roman" w:cs="Times New Roman"/>
                <w:i/>
                <w:color w:val="2D2D2D"/>
                <w:sz w:val="20"/>
                <w:szCs w:val="20"/>
                <w:bdr w:val="none" w:sz="0" w:space="0" w:color="auto" w:frame="1"/>
                <w:lang w:val="es-ES_tradnl"/>
              </w:rPr>
              <w:t> </w:t>
            </w:r>
            <w:r w:rsidRPr="0057122D">
              <w:rPr>
                <w:rFonts w:eastAsia="Times New Roman" w:cs="Times New Roman"/>
                <w:i/>
                <w:color w:val="2D2D2D"/>
                <w:sz w:val="20"/>
                <w:szCs w:val="20"/>
                <w:bdr w:val="none" w:sz="0" w:space="0" w:color="auto" w:frame="1"/>
              </w:rPr>
              <w:t>1774 de 2016, teniendo la responsabilidad de evitar y sancionar el maltrato de los perros.</w:t>
            </w:r>
          </w:p>
          <w:p w:rsidR="005E5A0E" w:rsidRPr="0057122D" w:rsidRDefault="005E5A0E" w:rsidP="00CA1B11">
            <w:pPr>
              <w:shd w:val="clear" w:color="auto" w:fill="FFFFFF"/>
              <w:jc w:val="both"/>
              <w:textAlignment w:val="baseline"/>
              <w:rPr>
                <w:rFonts w:eastAsia="Times New Roman" w:cs="Times New Roman"/>
                <w:i/>
                <w:color w:val="2D2D2D"/>
                <w:sz w:val="20"/>
                <w:szCs w:val="20"/>
              </w:rPr>
            </w:pPr>
            <w:r w:rsidRPr="0057122D">
              <w:rPr>
                <w:rFonts w:eastAsia="Times New Roman" w:cs="Times New Roman"/>
                <w:i/>
                <w:color w:val="2D2D2D"/>
                <w:sz w:val="20"/>
                <w:szCs w:val="20"/>
                <w:bdr w:val="none" w:sz="0" w:space="0" w:color="auto" w:frame="1"/>
                <w:shd w:val="clear" w:color="auto" w:fill="FFFFFF"/>
                <w:lang w:val="es-ES_tradnl"/>
              </w:rPr>
              <w:t> </w:t>
            </w:r>
          </w:p>
          <w:p w:rsidR="005E5A0E" w:rsidRPr="0057122D" w:rsidRDefault="005E5A0E" w:rsidP="00CA1B11">
            <w:pPr>
              <w:shd w:val="clear" w:color="auto" w:fill="FFFFFF"/>
              <w:jc w:val="both"/>
              <w:textAlignment w:val="baseline"/>
              <w:rPr>
                <w:rFonts w:eastAsia="Times New Roman" w:cs="Times New Roman"/>
                <w:i/>
                <w:color w:val="2D2D2D"/>
                <w:sz w:val="20"/>
                <w:szCs w:val="20"/>
              </w:rPr>
            </w:pPr>
            <w:r w:rsidRPr="0057122D">
              <w:rPr>
                <w:rFonts w:eastAsia="Times New Roman" w:cs="Times New Roman"/>
                <w:b/>
                <w:bCs/>
                <w:i/>
                <w:color w:val="2D2D2D"/>
                <w:sz w:val="20"/>
                <w:szCs w:val="20"/>
                <w:bdr w:val="none" w:sz="0" w:space="0" w:color="auto" w:frame="1"/>
              </w:rPr>
              <w:t>Razón de la decisión.</w:t>
            </w:r>
            <w:r w:rsidRPr="00F83FB5">
              <w:rPr>
                <w:rFonts w:eastAsia="Times New Roman" w:cs="Times New Roman"/>
                <w:b/>
                <w:bCs/>
                <w:i/>
                <w:color w:val="2D2D2D"/>
                <w:sz w:val="20"/>
                <w:szCs w:val="20"/>
                <w:bdr w:val="none" w:sz="0" w:space="0" w:color="auto" w:frame="1"/>
              </w:rPr>
              <w:t> </w:t>
            </w:r>
            <w:r w:rsidRPr="0057122D">
              <w:rPr>
                <w:rFonts w:eastAsia="Times New Roman" w:cs="Times New Roman"/>
                <w:i/>
                <w:color w:val="2D2D2D"/>
                <w:sz w:val="20"/>
                <w:szCs w:val="20"/>
                <w:bdr w:val="none" w:sz="0" w:space="0" w:color="auto" w:frame="1"/>
              </w:rPr>
              <w:t xml:space="preserve">No se vulnera el derecho de petición cuando se suministra una respuesta oportuna y de fondo a las solicitudes elevadas ante la administración. Por otra parte, es improcedente la acción de tutela para la protección de bienestar animal, </w:t>
            </w:r>
            <w:proofErr w:type="gramStart"/>
            <w:r w:rsidRPr="0057122D">
              <w:rPr>
                <w:rFonts w:eastAsia="Times New Roman" w:cs="Times New Roman"/>
                <w:i/>
                <w:color w:val="2D2D2D"/>
                <w:sz w:val="20"/>
                <w:szCs w:val="20"/>
                <w:bdr w:val="none" w:sz="0" w:space="0" w:color="auto" w:frame="1"/>
              </w:rPr>
              <w:t>porque</w:t>
            </w:r>
            <w:proofErr w:type="gramEnd"/>
            <w:r w:rsidRPr="0057122D">
              <w:rPr>
                <w:rFonts w:eastAsia="Times New Roman" w:cs="Times New Roman"/>
                <w:i/>
                <w:color w:val="2D2D2D"/>
                <w:sz w:val="20"/>
                <w:szCs w:val="20"/>
                <w:bdr w:val="none" w:sz="0" w:space="0" w:color="auto" w:frame="1"/>
              </w:rPr>
              <w:t xml:space="preserve"> aunque exista un deber constitucional de protección de éste, no se extrae la existencia de un derecho fundamental en cabeza de los animales, ni su exigibilidad por medio de la acción de tutela, al tratarse de un interés difuso, no individualizable. Sin embargo, del deber de protección animal desencadenan una serie de obligaciones para los seres humanos de, entre otros, evitar el maltrato, la tortura o los actos de </w:t>
            </w:r>
            <w:r w:rsidRPr="0057122D">
              <w:rPr>
                <w:rFonts w:eastAsia="Times New Roman" w:cs="Times New Roman"/>
                <w:i/>
                <w:color w:val="2D2D2D"/>
                <w:sz w:val="20"/>
                <w:szCs w:val="20"/>
                <w:bdr w:val="none" w:sz="0" w:space="0" w:color="auto" w:frame="1"/>
              </w:rPr>
              <w:lastRenderedPageBreak/>
              <w:t>crueldad y velar por el cuidado de su integridad y vida con las excepciones previstas en la ley y en la jurisprudencia constitucional.</w:t>
            </w:r>
          </w:p>
          <w:p w:rsidR="005E5A0E" w:rsidRPr="0057122D" w:rsidRDefault="005E5A0E" w:rsidP="00CA1B11">
            <w:pPr>
              <w:shd w:val="clear" w:color="auto" w:fill="FFFFFF"/>
              <w:jc w:val="both"/>
              <w:textAlignment w:val="baseline"/>
              <w:rPr>
                <w:rFonts w:eastAsia="Times New Roman" w:cs="Times New Roman"/>
                <w:i/>
                <w:color w:val="2D2D2D"/>
                <w:sz w:val="20"/>
                <w:szCs w:val="20"/>
              </w:rPr>
            </w:pPr>
            <w:r w:rsidRPr="0057122D">
              <w:rPr>
                <w:rFonts w:eastAsia="Times New Roman" w:cs="Times New Roman"/>
                <w:i/>
                <w:color w:val="2D2D2D"/>
                <w:sz w:val="20"/>
                <w:szCs w:val="20"/>
                <w:bdr w:val="none" w:sz="0" w:space="0" w:color="auto" w:frame="1"/>
              </w:rPr>
              <w:t> </w:t>
            </w:r>
          </w:p>
          <w:p w:rsidR="005E5A0E" w:rsidRPr="00F83FB5" w:rsidRDefault="005E5A0E" w:rsidP="00CA1B11">
            <w:pPr>
              <w:jc w:val="both"/>
              <w:rPr>
                <w:rFonts w:cs="Arial"/>
                <w:i/>
                <w:color w:val="000000" w:themeColor="text1"/>
                <w:sz w:val="20"/>
                <w:szCs w:val="20"/>
              </w:rPr>
            </w:pPr>
            <w:r w:rsidRPr="00F83FB5">
              <w:rPr>
                <w:rFonts w:cs="Arial"/>
                <w:i/>
                <w:color w:val="000000" w:themeColor="text1"/>
                <w:sz w:val="20"/>
                <w:szCs w:val="20"/>
              </w:rPr>
              <w:t>La Sala concluye que las actuaciones de las entidades accionadas se encuentran conformes al deber constitucional de protección animal y del derecho de petición, por lo cual se confirmarán las decisiones de instancia de negar el amparo del derecho de petición y declarar la improcedencia de la acción de tutela para proteger el bienestar animal.</w:t>
            </w:r>
          </w:p>
          <w:p w:rsidR="005E5A0E" w:rsidRPr="00F83FB5" w:rsidRDefault="005E5A0E" w:rsidP="00CA1B11">
            <w:pPr>
              <w:jc w:val="both"/>
              <w:rPr>
                <w:rFonts w:cs="Arial"/>
                <w:i/>
                <w:color w:val="000000" w:themeColor="text1"/>
                <w:sz w:val="20"/>
                <w:szCs w:val="20"/>
              </w:rPr>
            </w:pPr>
            <w:r w:rsidRPr="00F83FB5">
              <w:rPr>
                <w:rFonts w:cs="Arial"/>
                <w:i/>
                <w:color w:val="000000" w:themeColor="text1"/>
                <w:sz w:val="20"/>
                <w:szCs w:val="20"/>
              </w:rPr>
              <w:t xml:space="preserve"> </w:t>
            </w:r>
          </w:p>
          <w:p w:rsidR="005E5A0E" w:rsidRPr="00F83FB5" w:rsidRDefault="005E5A0E" w:rsidP="00CA1B11">
            <w:pPr>
              <w:jc w:val="both"/>
              <w:rPr>
                <w:rFonts w:cs="Arial"/>
                <w:i/>
                <w:color w:val="000000" w:themeColor="text1"/>
                <w:sz w:val="20"/>
                <w:szCs w:val="20"/>
              </w:rPr>
            </w:pPr>
          </w:p>
        </w:tc>
        <w:tc>
          <w:tcPr>
            <w:tcW w:w="1843" w:type="dxa"/>
            <w:gridSpan w:val="2"/>
          </w:tcPr>
          <w:p w:rsidR="005E5A0E" w:rsidRPr="00BF4788" w:rsidRDefault="005E5A0E" w:rsidP="00CA1B11">
            <w:pPr>
              <w:jc w:val="both"/>
              <w:rPr>
                <w:rFonts w:eastAsia="Batang" w:cs="Arial"/>
                <w:i/>
                <w:color w:val="000000" w:themeColor="text1"/>
                <w:sz w:val="20"/>
                <w:szCs w:val="20"/>
              </w:rPr>
            </w:pPr>
            <w:r w:rsidRPr="00BF4788">
              <w:rPr>
                <w:rFonts w:eastAsia="Batang" w:cs="Arial"/>
                <w:i/>
                <w:color w:val="000000" w:themeColor="text1"/>
                <w:sz w:val="20"/>
                <w:szCs w:val="20"/>
              </w:rPr>
              <w:lastRenderedPageBreak/>
              <w:t xml:space="preserve">RIMERO.- CONFIRMAR la sentencia del Juzgado Veintisiete Civil del Circuito de Bogotá, del 26 de agosto de 2015 que confirmó la providencia del Juzgado Once Civil Municipal de Bogotá, del 7 de julio de 2015, que negó el amparo del derecho de petición y declaró improcedente la acción de tutela para la protección del derecho al bienestar animal, de conformidad con lo expuesto en esta providencia, en la acción de tutela interpuesta por el señor Henry Acuña Cordero contra la Personería Local de Fontibón, Alcaldía Local de Fontibón, la Secretaría Distrital </w:t>
            </w:r>
            <w:r w:rsidRPr="00BF4788">
              <w:rPr>
                <w:rFonts w:eastAsia="Batang" w:cs="Arial"/>
                <w:i/>
                <w:color w:val="000000" w:themeColor="text1"/>
                <w:sz w:val="20"/>
                <w:szCs w:val="20"/>
              </w:rPr>
              <w:lastRenderedPageBreak/>
              <w:t>de Salud, el Centro Zoonosis y la Secretaría Distrital de Ambiente de Bogotá.</w:t>
            </w:r>
          </w:p>
          <w:p w:rsidR="005E5A0E" w:rsidRPr="00BF4788" w:rsidRDefault="005E5A0E" w:rsidP="00CA1B11">
            <w:pPr>
              <w:jc w:val="both"/>
              <w:rPr>
                <w:rFonts w:eastAsia="Batang" w:cs="Arial"/>
                <w:i/>
                <w:color w:val="000000" w:themeColor="text1"/>
                <w:sz w:val="20"/>
                <w:szCs w:val="20"/>
              </w:rPr>
            </w:pPr>
            <w:r w:rsidRPr="00BF4788">
              <w:rPr>
                <w:rFonts w:eastAsia="Batang" w:cs="Arial"/>
                <w:i/>
                <w:color w:val="000000" w:themeColor="text1"/>
                <w:sz w:val="20"/>
                <w:szCs w:val="20"/>
              </w:rPr>
              <w:t xml:space="preserve"> </w:t>
            </w:r>
          </w:p>
          <w:p w:rsidR="005E5A0E" w:rsidRPr="00BF4788" w:rsidRDefault="005E5A0E" w:rsidP="00CA1B11">
            <w:pPr>
              <w:jc w:val="both"/>
              <w:rPr>
                <w:rFonts w:eastAsia="Batang" w:cs="Arial"/>
                <w:i/>
                <w:color w:val="000000" w:themeColor="text1"/>
                <w:sz w:val="20"/>
                <w:szCs w:val="20"/>
              </w:rPr>
            </w:pPr>
            <w:r w:rsidRPr="00BF4788">
              <w:rPr>
                <w:rFonts w:eastAsia="Batang" w:cs="Arial"/>
                <w:i/>
                <w:color w:val="000000" w:themeColor="text1"/>
                <w:sz w:val="20"/>
                <w:szCs w:val="20"/>
              </w:rPr>
              <w:t xml:space="preserve">SEGUNDO.- EXHORTAR al Centro de Zoonosis y la Secretaría Distrital de Salud o a quien haga sus veces, que en el marco de sus competencias y especialmente las señaladas en la Resolución 0240 de 2014, en la realización de los operativos de recolección animal, observe el mandato constitucional de protección animal y las garantías establecidas en el Estatuto de Bienestar Animal y la Ley 1774 de 2016, </w:t>
            </w:r>
            <w:r w:rsidRPr="00BF4788">
              <w:rPr>
                <w:rFonts w:eastAsia="Batang" w:cs="Arial"/>
                <w:i/>
                <w:color w:val="000000" w:themeColor="text1"/>
                <w:sz w:val="20"/>
                <w:szCs w:val="20"/>
              </w:rPr>
              <w:lastRenderedPageBreak/>
              <w:t>teniendo la responsabilidad de evitar y sancionar el maltrato de los perros, en los términos allí previstos.</w:t>
            </w:r>
          </w:p>
          <w:p w:rsidR="005E5A0E" w:rsidRPr="00BF4788" w:rsidRDefault="005E5A0E" w:rsidP="00CA1B11">
            <w:pPr>
              <w:jc w:val="both"/>
              <w:rPr>
                <w:rFonts w:eastAsia="Batang" w:cs="Arial"/>
                <w:i/>
                <w:color w:val="000000" w:themeColor="text1"/>
                <w:sz w:val="20"/>
                <w:szCs w:val="20"/>
              </w:rPr>
            </w:pPr>
            <w:r w:rsidRPr="00BF4788">
              <w:rPr>
                <w:rFonts w:eastAsia="Batang" w:cs="Arial"/>
                <w:i/>
                <w:color w:val="000000" w:themeColor="text1"/>
                <w:sz w:val="20"/>
                <w:szCs w:val="20"/>
              </w:rPr>
              <w:t xml:space="preserve"> </w:t>
            </w:r>
          </w:p>
          <w:p w:rsidR="005E5A0E" w:rsidRPr="00BF4788" w:rsidRDefault="005E5A0E" w:rsidP="00CA1B11">
            <w:pPr>
              <w:jc w:val="both"/>
              <w:rPr>
                <w:rFonts w:eastAsia="Batang" w:cs="Arial"/>
                <w:i/>
                <w:color w:val="000000" w:themeColor="text1"/>
                <w:sz w:val="20"/>
                <w:szCs w:val="20"/>
              </w:rPr>
            </w:pPr>
            <w:r w:rsidRPr="00BF4788">
              <w:rPr>
                <w:rFonts w:eastAsia="Batang" w:cs="Arial"/>
                <w:i/>
                <w:color w:val="000000" w:themeColor="text1"/>
                <w:sz w:val="20"/>
                <w:szCs w:val="20"/>
              </w:rPr>
              <w:t>TERCERO. -</w:t>
            </w:r>
            <w:r w:rsidRPr="00BF4788">
              <w:rPr>
                <w:rFonts w:eastAsia="Batang" w:cs="Arial"/>
                <w:i/>
                <w:color w:val="000000" w:themeColor="text1"/>
                <w:sz w:val="20"/>
                <w:szCs w:val="20"/>
              </w:rPr>
              <w:t xml:space="preserve"> Por Secretaría, líbrese la comunicación prevista en el artículo 36 del Decreto 2591 de 1991.</w:t>
            </w:r>
          </w:p>
          <w:p w:rsidR="005E5A0E" w:rsidRPr="0057122D" w:rsidRDefault="005E5A0E" w:rsidP="00CA1B11">
            <w:pPr>
              <w:jc w:val="both"/>
              <w:rPr>
                <w:rFonts w:eastAsia="Batang" w:cs="Arial"/>
                <w:i/>
                <w:color w:val="000000" w:themeColor="text1"/>
                <w:sz w:val="20"/>
                <w:szCs w:val="20"/>
              </w:rPr>
            </w:pPr>
          </w:p>
        </w:tc>
      </w:tr>
      <w:tr w:rsidR="005E5A0E" w:rsidRPr="0057122D" w:rsidTr="00CA1B11">
        <w:trPr>
          <w:trHeight w:val="822"/>
        </w:trPr>
        <w:tc>
          <w:tcPr>
            <w:tcW w:w="13876" w:type="dxa"/>
            <w:gridSpan w:val="6"/>
          </w:tcPr>
          <w:p w:rsidR="005E5A0E" w:rsidRPr="0057122D" w:rsidRDefault="005E5A0E" w:rsidP="00CA1B11">
            <w:pPr>
              <w:jc w:val="both"/>
              <w:rPr>
                <w:rFonts w:cs="Arial"/>
                <w:b/>
                <w:color w:val="FF0000"/>
                <w:sz w:val="20"/>
                <w:szCs w:val="20"/>
              </w:rPr>
            </w:pPr>
            <w:r w:rsidRPr="0057122D">
              <w:rPr>
                <w:rFonts w:cs="Arial"/>
                <w:b/>
                <w:color w:val="000000" w:themeColor="text1"/>
                <w:sz w:val="20"/>
                <w:szCs w:val="20"/>
              </w:rPr>
              <w:lastRenderedPageBreak/>
              <w:t>COMEN</w:t>
            </w:r>
            <w:r w:rsidRPr="00BF4788">
              <w:rPr>
                <w:rFonts w:cs="Arial"/>
                <w:b/>
                <w:color w:val="000000" w:themeColor="text1"/>
                <w:sz w:val="20"/>
                <w:szCs w:val="20"/>
              </w:rPr>
              <w:t>TARIO: “</w:t>
            </w:r>
            <w:r w:rsidRPr="00BF4788">
              <w:rPr>
                <w:i/>
                <w:color w:val="2D2D2D"/>
                <w:sz w:val="20"/>
                <w:szCs w:val="20"/>
                <w:shd w:val="clear" w:color="auto" w:fill="FFFFFF"/>
              </w:rPr>
              <w:t>La existencia de un mandato constitucional de protección al bienestar animal, no se desencadena la existencia de un derecho fundamental en cabeza de éstos, ni la exigibilidad por medio de la acción de tutela al tratarse de un interés difuso, no individualizable. De dicha noción si se extrae una serie de obligaciones para los seres humanos de, entre otros, velar por la protección de los animales y evitar el maltrato, la tortura o los actos de crueldad, además del cuidado de su integridad y vida; los cuales pueden ser resguardados a través de diferentes mecanismos judiciales entre ellos la acción popular para solicitar la protección del medio ambiente; la acción de cumplimiento para exigir de la administración el deber de protección al bienestar animal concretado en un acto administrativo y ante actos reales y concretos de maltrato animal que no se circunscriban a los límites legítimos al deber constitucional de protección animal, existe sanciones penales y civiles contra los causantes de daño ocasionado a los animales”.</w:t>
            </w:r>
            <w:bookmarkStart w:id="0" w:name="_GoBack"/>
            <w:bookmarkEnd w:id="0"/>
          </w:p>
        </w:tc>
      </w:tr>
    </w:tbl>
    <w:p w:rsidR="005E5A0E" w:rsidRDefault="005E5A0E" w:rsidP="005E5A0E">
      <w:pPr>
        <w:spacing w:line="240" w:lineRule="auto"/>
        <w:rPr>
          <w:rFonts w:cs="Arial"/>
          <w:b/>
          <w:color w:val="FF0000"/>
          <w:sz w:val="20"/>
          <w:szCs w:val="20"/>
        </w:rPr>
      </w:pPr>
    </w:p>
    <w:p w:rsidR="00001785" w:rsidRDefault="005E5A0E"/>
    <w:sectPr w:rsidR="00001785" w:rsidSect="005E5A0E">
      <w:pgSz w:w="19442" w:h="12242" w:orient="landscape" w:code="190"/>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A0E"/>
    <w:rsid w:val="004A23DD"/>
    <w:rsid w:val="005E5A0E"/>
    <w:rsid w:val="00AF240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CCEFC-305E-4EFE-A350-E799B483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E5A0E"/>
    <w:pPr>
      <w:spacing w:after="200" w:line="276" w:lineRule="auto"/>
    </w:pPr>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E5A0E"/>
    <w:pPr>
      <w:spacing w:after="0" w:line="240" w:lineRule="auto"/>
    </w:pPr>
    <w:rPr>
      <w:rFonts w:eastAsiaTheme="minorEastAsia"/>
      <w:lang w:eastAsia="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2630</Words>
  <Characters>14469</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PAOLA.MONTES</dc:creator>
  <cp:keywords/>
  <dc:description/>
  <cp:lastModifiedBy>PAOLA.MONTES</cp:lastModifiedBy>
  <cp:revision>1</cp:revision>
  <dcterms:created xsi:type="dcterms:W3CDTF">2017-06-15T23:59:00Z</dcterms:created>
  <dcterms:modified xsi:type="dcterms:W3CDTF">2017-06-16T00:00:00Z</dcterms:modified>
</cp:coreProperties>
</file>